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F5" w:rsidRPr="007249F5" w:rsidRDefault="007249F5" w:rsidP="007249F5">
      <w:pPr>
        <w:ind w:firstLine="567"/>
        <w:jc w:val="center"/>
        <w:rPr>
          <w:b/>
        </w:rPr>
      </w:pPr>
      <w:r w:rsidRPr="007249F5">
        <w:rPr>
          <w:b/>
        </w:rPr>
        <w:t>Про підсумки діяльності</w:t>
      </w:r>
    </w:p>
    <w:p w:rsidR="007249F5" w:rsidRPr="007249F5" w:rsidRDefault="007249F5" w:rsidP="007249F5">
      <w:pPr>
        <w:ind w:firstLine="567"/>
        <w:jc w:val="center"/>
        <w:rPr>
          <w:b/>
        </w:rPr>
      </w:pPr>
      <w:r w:rsidRPr="007249F5">
        <w:rPr>
          <w:b/>
        </w:rPr>
        <w:t>працівників  психологічної служби</w:t>
      </w:r>
    </w:p>
    <w:p w:rsidR="007249F5" w:rsidRPr="007249F5" w:rsidRDefault="007249F5" w:rsidP="007249F5">
      <w:pPr>
        <w:ind w:firstLine="567"/>
        <w:jc w:val="center"/>
        <w:rPr>
          <w:b/>
        </w:rPr>
      </w:pPr>
      <w:r w:rsidRPr="007249F5">
        <w:rPr>
          <w:b/>
        </w:rPr>
        <w:t>навчальних закладів у 201</w:t>
      </w:r>
      <w:r>
        <w:rPr>
          <w:b/>
        </w:rPr>
        <w:t>5</w:t>
      </w:r>
      <w:r w:rsidRPr="007249F5">
        <w:rPr>
          <w:b/>
        </w:rPr>
        <w:t>/201</w:t>
      </w:r>
      <w:r>
        <w:rPr>
          <w:b/>
        </w:rPr>
        <w:t>6</w:t>
      </w:r>
      <w:r w:rsidRPr="007249F5">
        <w:rPr>
          <w:b/>
        </w:rPr>
        <w:t xml:space="preserve"> навчальному році та</w:t>
      </w:r>
    </w:p>
    <w:p w:rsidR="007249F5" w:rsidRDefault="007249F5" w:rsidP="007249F5">
      <w:pPr>
        <w:ind w:firstLine="567"/>
        <w:jc w:val="center"/>
        <w:rPr>
          <w:lang w:val="ru-RU"/>
        </w:rPr>
      </w:pPr>
      <w:r>
        <w:rPr>
          <w:b/>
        </w:rPr>
        <w:t>пріоритетні завдання на 2016</w:t>
      </w:r>
      <w:r w:rsidRPr="007249F5">
        <w:rPr>
          <w:b/>
        </w:rPr>
        <w:t>/201</w:t>
      </w:r>
      <w:r>
        <w:rPr>
          <w:b/>
        </w:rPr>
        <w:t>7</w:t>
      </w:r>
      <w:r w:rsidRPr="007249F5">
        <w:rPr>
          <w:b/>
        </w:rPr>
        <w:t xml:space="preserve"> навчальний рік</w:t>
      </w:r>
      <w:r w:rsidRPr="005F4AF8">
        <w:rPr>
          <w:lang w:val="ru-RU"/>
        </w:rPr>
        <w:t xml:space="preserve"> </w:t>
      </w:r>
    </w:p>
    <w:p w:rsidR="007249F5" w:rsidRDefault="007249F5" w:rsidP="007249F5">
      <w:pPr>
        <w:ind w:firstLine="567"/>
        <w:jc w:val="center"/>
        <w:rPr>
          <w:lang w:val="ru-RU"/>
        </w:rPr>
      </w:pPr>
      <w:r w:rsidRPr="005F4AF8">
        <w:rPr>
          <w:lang w:val="ru-RU"/>
        </w:rPr>
        <w:t xml:space="preserve">   </w:t>
      </w:r>
    </w:p>
    <w:p w:rsidR="007249F5" w:rsidRPr="005F4AF8" w:rsidRDefault="007249F5" w:rsidP="007249F5">
      <w:pPr>
        <w:ind w:firstLine="567"/>
        <w:jc w:val="both"/>
        <w:rPr>
          <w:lang w:val="ru-RU"/>
        </w:rPr>
      </w:pPr>
      <w:r w:rsidRPr="005F4AF8">
        <w:t>Психологічна служба системи освіти є складовою частиною державної системи ох</w:t>
      </w:r>
      <w:r w:rsidRPr="005F4AF8">
        <w:t>о</w:t>
      </w:r>
      <w:r w:rsidRPr="005F4AF8">
        <w:t>рони фізичного і психічного здоров’я молодих громадян України. Працівники психологічної  служби  у своїй діяльності керуються Конституцією України, Законами України «Про осв</w:t>
      </w:r>
      <w:r w:rsidRPr="005F4AF8">
        <w:t>і</w:t>
      </w:r>
      <w:r w:rsidRPr="005F4AF8">
        <w:t>ту», «Про загальну середню освіту», «Про дошкільну освіту», «Про позашкільну освіту», Положенням про психологічну службу системи освіти Укра</w:t>
      </w:r>
      <w:r w:rsidRPr="005F4AF8">
        <w:t>ї</w:t>
      </w:r>
      <w:r w:rsidRPr="005F4AF8">
        <w:t>ни</w:t>
      </w:r>
      <w:r w:rsidRPr="005F4AF8">
        <w:rPr>
          <w:lang w:val="ru-RU"/>
        </w:rPr>
        <w:t xml:space="preserve">, </w:t>
      </w:r>
      <w:r w:rsidRPr="005F4AF8">
        <w:t>затвердженим наказом МОН України від 02.07.2009 № 616 та іншими нормативно-правовими актами.</w:t>
      </w:r>
    </w:p>
    <w:p w:rsidR="007249F5" w:rsidRPr="005F4AF8" w:rsidRDefault="007249F5" w:rsidP="007249F5">
      <w:pPr>
        <w:ind w:firstLine="567"/>
        <w:jc w:val="both"/>
      </w:pPr>
      <w:r w:rsidRPr="005F4AF8">
        <w:t>Управління освіти систематично здійснює моніторинг забезпеченості навчальних з</w:t>
      </w:r>
      <w:r w:rsidRPr="005F4AF8">
        <w:t>а</w:t>
      </w:r>
      <w:r w:rsidRPr="005F4AF8">
        <w:t>кладів практичними психологами та соціальними педагогами, що сприяє збереженню мережі навчальних закладів, забезпечених працівниками психологічної служби.</w:t>
      </w:r>
    </w:p>
    <w:p w:rsidR="007249F5" w:rsidRPr="005F4AF8" w:rsidRDefault="007249F5" w:rsidP="007249F5">
      <w:pPr>
        <w:jc w:val="center"/>
      </w:pPr>
      <w:r w:rsidRPr="005F4AF8">
        <w:t>Стан забезпечення фахівцями психологічної служби навчальні заклади</w:t>
      </w:r>
    </w:p>
    <w:p w:rsidR="007249F5" w:rsidRPr="005F4AF8" w:rsidRDefault="007249F5" w:rsidP="007249F5">
      <w:pPr>
        <w:jc w:val="center"/>
      </w:pPr>
      <w:r w:rsidRPr="005F4AF8">
        <w:t>(на кінець навчального року)</w:t>
      </w:r>
    </w:p>
    <w:p w:rsidR="007249F5" w:rsidRPr="005F4AF8" w:rsidRDefault="007249F5" w:rsidP="007249F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00750" cy="288607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49F5" w:rsidRPr="005F4AF8" w:rsidRDefault="007249F5" w:rsidP="007249F5">
      <w:pPr>
        <w:jc w:val="both"/>
      </w:pPr>
      <w:r w:rsidRPr="005F4AF8">
        <w:t xml:space="preserve">        Відповідно до нормативів чисельності, що визначені у Положенні про психологічну службу системи освіти України, стан  забезпечення практичними психологами у дошкільних навчальних закладах складає  90%; практичними психологами у загальноосвітніх навчальних закладах - 95%;   соціальними педагогами -  58%   від потреби. </w:t>
      </w:r>
    </w:p>
    <w:p w:rsidR="007249F5" w:rsidRPr="005F4AF8" w:rsidRDefault="007249F5" w:rsidP="007249F5">
      <w:pPr>
        <w:jc w:val="both"/>
      </w:pPr>
      <w:r w:rsidRPr="005F4AF8">
        <w:t xml:space="preserve">         Протягом останніх трьох  років практичними психологами забезпечені майже всі д</w:t>
      </w:r>
      <w:r w:rsidRPr="005F4AF8">
        <w:t>о</w:t>
      </w:r>
      <w:r w:rsidRPr="005F4AF8">
        <w:t>шкільні, загальноосвітні  навчальні заклади та ПДЮТ «ІСТОК»; спостерігається негативна динаміка зменшення кількості навчальних закладів,  забезпечених  соціальними педагогами, що унеможливлює доступність соціально-педагогічних послуг, ускладнює здійснення патр</w:t>
      </w:r>
      <w:r w:rsidRPr="005F4AF8">
        <w:t>о</w:t>
      </w:r>
      <w:r w:rsidRPr="005F4AF8">
        <w:t>нажу учнів соціально незахищених категорій.</w:t>
      </w:r>
    </w:p>
    <w:p w:rsidR="007249F5" w:rsidRPr="005F4AF8" w:rsidRDefault="007249F5" w:rsidP="007249F5">
      <w:pPr>
        <w:pStyle w:val="a3"/>
        <w:tabs>
          <w:tab w:val="left" w:pos="10205"/>
        </w:tabs>
        <w:spacing w:after="0"/>
        <w:ind w:left="0" w:right="-1"/>
        <w:jc w:val="both"/>
      </w:pPr>
      <w:r w:rsidRPr="005F4AF8">
        <w:t xml:space="preserve">       Відповідно до інструктивно-методичного листа МОН України від 23.07.2015 №1/9-347 «Про забезпечення фахівцями та пріоритетні напрями діяльності психологічної служби си</w:t>
      </w:r>
      <w:r w:rsidRPr="005F4AF8">
        <w:t>с</w:t>
      </w:r>
      <w:r w:rsidRPr="005F4AF8">
        <w:t>теми освіти у 2015/2016 навчальному році» діяльність практичних психологів та соціальних педагогів навчальних закладів  була спрямована на:</w:t>
      </w:r>
    </w:p>
    <w:p w:rsidR="007249F5" w:rsidRPr="000D0DA1" w:rsidRDefault="007249F5" w:rsidP="007249F5">
      <w:pPr>
        <w:ind w:firstLine="567"/>
        <w:jc w:val="both"/>
      </w:pPr>
      <w:r w:rsidRPr="005F4AF8">
        <w:t xml:space="preserve">1. Своєчасне надання психологічної і соціально-педагогічної допомоги дітям з сімей </w:t>
      </w:r>
      <w:r w:rsidRPr="000D0DA1">
        <w:t>вимушених переселенців.</w:t>
      </w:r>
    </w:p>
    <w:p w:rsidR="007249F5" w:rsidRPr="000D0DA1" w:rsidRDefault="007249F5" w:rsidP="007249F5">
      <w:pPr>
        <w:jc w:val="both"/>
      </w:pPr>
      <w:r w:rsidRPr="000D0DA1">
        <w:rPr>
          <w:iCs/>
        </w:rPr>
        <w:t xml:space="preserve">       </w:t>
      </w:r>
      <w:r w:rsidRPr="000D0DA1">
        <w:t>2. Консультативно-методичну допомогу всім учасникам навчально-виховного  процесу  з  питань  навчання,   виховання   і розвитку вихованців, учнів.</w:t>
      </w:r>
    </w:p>
    <w:p w:rsidR="007249F5" w:rsidRPr="000D0DA1" w:rsidRDefault="007249F5" w:rsidP="007249F5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DA1">
        <w:rPr>
          <w:rFonts w:ascii="Times New Roman" w:hAnsi="Times New Roman"/>
          <w:sz w:val="24"/>
          <w:szCs w:val="24"/>
        </w:rPr>
        <w:lastRenderedPageBreak/>
        <w:t>3. Просвітницько-пропагандистську  роботу з підвищення психологічної культури в навчальних закладах та у сім'ї.</w:t>
      </w:r>
    </w:p>
    <w:p w:rsidR="007249F5" w:rsidRPr="000D0DA1" w:rsidRDefault="007249F5" w:rsidP="007249F5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DA1">
        <w:rPr>
          <w:rFonts w:ascii="Times New Roman" w:hAnsi="Times New Roman"/>
          <w:sz w:val="24"/>
          <w:szCs w:val="24"/>
        </w:rPr>
        <w:t>4. Превентивне виховання, метою якого є формування у вихованців, учнів орієнтації на здоровий спосіб життя та захист психічного здоров'я;  профілактика  алкоголізму,  нарком</w:t>
      </w:r>
      <w:r w:rsidRPr="000D0DA1">
        <w:rPr>
          <w:rFonts w:ascii="Times New Roman" w:hAnsi="Times New Roman"/>
          <w:sz w:val="24"/>
          <w:szCs w:val="24"/>
        </w:rPr>
        <w:t>а</w:t>
      </w:r>
      <w:r w:rsidRPr="000D0DA1">
        <w:rPr>
          <w:rFonts w:ascii="Times New Roman" w:hAnsi="Times New Roman"/>
          <w:sz w:val="24"/>
          <w:szCs w:val="24"/>
        </w:rPr>
        <w:t>нії,  ВІЛ-інфекції і злочинності.</w:t>
      </w:r>
    </w:p>
    <w:p w:rsidR="007249F5" w:rsidRPr="000D0DA1" w:rsidRDefault="007249F5" w:rsidP="007249F5">
      <w:pPr>
        <w:ind w:firstLine="567"/>
        <w:jc w:val="both"/>
      </w:pPr>
      <w:r w:rsidRPr="000D0DA1">
        <w:t>5. Психологічний супровід адаптації дітей до навчання у школі І-го та ІІ-го ступенів в умовах впровадження нового Державного стандарту початкової та    базової загальної сере</w:t>
      </w:r>
      <w:r w:rsidRPr="000D0DA1">
        <w:t>д</w:t>
      </w:r>
      <w:r w:rsidRPr="000D0DA1">
        <w:t>ньої освіти.</w:t>
      </w:r>
    </w:p>
    <w:p w:rsidR="007249F5" w:rsidRPr="000D0DA1" w:rsidRDefault="007249F5" w:rsidP="007249F5">
      <w:pPr>
        <w:ind w:firstLine="567"/>
        <w:jc w:val="both"/>
      </w:pPr>
      <w:r w:rsidRPr="000D0DA1">
        <w:t>6. Психологічний супровід дітей з особливими освітніми потребами, захист психічного і соціального здоров’я дитини на всіх рівнях навчання.</w:t>
      </w:r>
    </w:p>
    <w:p w:rsidR="007249F5" w:rsidRPr="000D0DA1" w:rsidRDefault="007249F5" w:rsidP="007249F5">
      <w:pPr>
        <w:tabs>
          <w:tab w:val="left" w:pos="0"/>
        </w:tabs>
        <w:jc w:val="both"/>
        <w:rPr>
          <w:iCs/>
        </w:rPr>
      </w:pPr>
      <w:r w:rsidRPr="000D0DA1">
        <w:rPr>
          <w:iCs/>
        </w:rPr>
        <w:t xml:space="preserve">       7. Створення у навчальних закладах центрів примирення, на базі яких будуть готуватися медіатори (посередники) з числа учнів задля вирішення конфліктів.</w:t>
      </w:r>
    </w:p>
    <w:p w:rsidR="007249F5" w:rsidRPr="000D0DA1" w:rsidRDefault="007249F5" w:rsidP="007249F5">
      <w:pPr>
        <w:tabs>
          <w:tab w:val="left" w:pos="720"/>
        </w:tabs>
        <w:ind w:firstLine="567"/>
        <w:jc w:val="both"/>
      </w:pPr>
      <w:r w:rsidRPr="000D0DA1">
        <w:t>8. Профілактику і корекцію відхилень в інтелектуальному і психофізіологічному розв</w:t>
      </w:r>
      <w:r w:rsidRPr="000D0DA1">
        <w:t>и</w:t>
      </w:r>
      <w:r w:rsidRPr="000D0DA1">
        <w:t>тку вихованців, учнів.</w:t>
      </w:r>
    </w:p>
    <w:p w:rsidR="007249F5" w:rsidRPr="000D0DA1" w:rsidRDefault="007249F5" w:rsidP="007249F5">
      <w:pPr>
        <w:tabs>
          <w:tab w:val="left" w:pos="720"/>
        </w:tabs>
        <w:ind w:firstLine="567"/>
        <w:jc w:val="both"/>
      </w:pPr>
      <w:r w:rsidRPr="000D0DA1">
        <w:t>9. Організацію і проведення  соціально-педагогічного патронажу у навчальних закл</w:t>
      </w:r>
      <w:r w:rsidRPr="000D0DA1">
        <w:t>а</w:t>
      </w:r>
      <w:r w:rsidRPr="000D0DA1">
        <w:t>дах.</w:t>
      </w:r>
    </w:p>
    <w:p w:rsidR="007249F5" w:rsidRPr="000D0DA1" w:rsidRDefault="007249F5" w:rsidP="007249F5">
      <w:pPr>
        <w:tabs>
          <w:tab w:val="left" w:pos="720"/>
        </w:tabs>
        <w:jc w:val="both"/>
      </w:pPr>
      <w:r w:rsidRPr="000D0DA1">
        <w:t xml:space="preserve">     10. Забезпечення психологічної підтримки комплексно-цільового управління освітньою системою.</w:t>
      </w:r>
    </w:p>
    <w:p w:rsidR="007249F5" w:rsidRPr="000D0DA1" w:rsidRDefault="007249F5" w:rsidP="007249F5">
      <w:pPr>
        <w:tabs>
          <w:tab w:val="left" w:pos="720"/>
        </w:tabs>
        <w:jc w:val="both"/>
      </w:pPr>
      <w:r w:rsidRPr="000D0DA1">
        <w:t xml:space="preserve">     11. Науково-методичне і практичне забезпечення </w:t>
      </w:r>
      <w:proofErr w:type="spellStart"/>
      <w:r w:rsidRPr="000D0DA1">
        <w:t>корекційно-розвивальної</w:t>
      </w:r>
      <w:proofErr w:type="spellEnd"/>
      <w:r w:rsidRPr="000D0DA1">
        <w:t xml:space="preserve"> і соціально-перетворювальної роботи.</w:t>
      </w:r>
    </w:p>
    <w:p w:rsidR="007249F5" w:rsidRPr="000D0DA1" w:rsidRDefault="007249F5" w:rsidP="007249F5">
      <w:pPr>
        <w:tabs>
          <w:tab w:val="left" w:pos="0"/>
        </w:tabs>
        <w:jc w:val="both"/>
      </w:pPr>
      <w:r w:rsidRPr="000D0DA1">
        <w:t xml:space="preserve">     12.  Психологічний супровід обдарованих учнів.</w:t>
      </w:r>
    </w:p>
    <w:p w:rsidR="007249F5" w:rsidRPr="000D0DA1" w:rsidRDefault="007249F5" w:rsidP="007249F5">
      <w:pPr>
        <w:tabs>
          <w:tab w:val="left" w:pos="0"/>
        </w:tabs>
        <w:jc w:val="both"/>
      </w:pPr>
      <w:r w:rsidRPr="000D0DA1">
        <w:t xml:space="preserve">     13. Психологічний і соціальний супровід дітей, постраждалих внаслідок    військових дій на Сході України, а також їх батьків.</w:t>
      </w:r>
    </w:p>
    <w:p w:rsidR="007249F5" w:rsidRPr="005F4AF8" w:rsidRDefault="007249F5" w:rsidP="007249F5">
      <w:pPr>
        <w:pStyle w:val="a3"/>
        <w:spacing w:after="0"/>
        <w:ind w:left="0"/>
        <w:jc w:val="both"/>
        <w:rPr>
          <w:iCs/>
        </w:rPr>
      </w:pPr>
      <w:r w:rsidRPr="000D0DA1">
        <w:rPr>
          <w:iCs/>
        </w:rPr>
        <w:t xml:space="preserve">       З метою вирішення проблем та досягнення</w:t>
      </w:r>
      <w:r w:rsidRPr="005F4AF8">
        <w:rPr>
          <w:iCs/>
        </w:rPr>
        <w:t xml:space="preserve"> цілей діяльності психологічної служби щ</w:t>
      </w:r>
      <w:r w:rsidRPr="005F4AF8">
        <w:rPr>
          <w:iCs/>
        </w:rPr>
        <w:t>о</w:t>
      </w:r>
      <w:r w:rsidRPr="005F4AF8">
        <w:rPr>
          <w:iCs/>
        </w:rPr>
        <w:t>квартально проводилися наради з працівниками  психологічної служби, методичні об’єднання практичних психологів ЗНЗ (3 засідання), практичних психологів ДНЗ (3 зас</w:t>
      </w:r>
      <w:r w:rsidRPr="005F4AF8">
        <w:rPr>
          <w:iCs/>
        </w:rPr>
        <w:t>і</w:t>
      </w:r>
      <w:r w:rsidRPr="005F4AF8">
        <w:rPr>
          <w:iCs/>
        </w:rPr>
        <w:t>дання) та соціальних педагогів (3 засідання); налагоджено с</w:t>
      </w:r>
      <w:r w:rsidRPr="005F4AF8">
        <w:t>півпрацю з представниками гр</w:t>
      </w:r>
      <w:r w:rsidRPr="005F4AF8">
        <w:t>о</w:t>
      </w:r>
      <w:r w:rsidRPr="005F4AF8">
        <w:t>мадської організації Харківський центр підтримки сімей учасників бойових дій в зоні АТО «Чекаємо тата разом» щодо проведення навчальних семінарів-тренінгів, круглих столів за участю  представників організації для  фахівців  психологічної служби.</w:t>
      </w:r>
      <w:r w:rsidRPr="005F4AF8">
        <w:tab/>
      </w:r>
    </w:p>
    <w:p w:rsidR="007249F5" w:rsidRPr="005F4AF8" w:rsidRDefault="007249F5" w:rsidP="007249F5">
      <w:pPr>
        <w:pStyle w:val="a5"/>
        <w:jc w:val="both"/>
        <w:rPr>
          <w:sz w:val="24"/>
        </w:rPr>
      </w:pPr>
      <w:r w:rsidRPr="005F4AF8">
        <w:rPr>
          <w:sz w:val="24"/>
        </w:rPr>
        <w:t xml:space="preserve">        Покращенню стану управління та методичному забезпеченню працівників психологічної служби сприяло проведення семінарів, майстер-класів  та методичних гости</w:t>
      </w:r>
      <w:r w:rsidRPr="005F4AF8">
        <w:rPr>
          <w:sz w:val="24"/>
        </w:rPr>
        <w:t>н</w:t>
      </w:r>
      <w:r w:rsidRPr="005F4AF8">
        <w:rPr>
          <w:sz w:val="24"/>
        </w:rPr>
        <w:t>них:</w:t>
      </w:r>
    </w:p>
    <w:p w:rsidR="007249F5" w:rsidRPr="005F4AF8" w:rsidRDefault="007249F5" w:rsidP="007249F5">
      <w:pPr>
        <w:ind w:firstLine="567"/>
        <w:jc w:val="both"/>
        <w:rPr>
          <w:bCs/>
        </w:rPr>
      </w:pPr>
      <w:r w:rsidRPr="005F4AF8">
        <w:t xml:space="preserve">- </w:t>
      </w:r>
      <w:proofErr w:type="spellStart"/>
      <w:r w:rsidRPr="005F4AF8">
        <w:t>інтерактивно-рефлексійний</w:t>
      </w:r>
      <w:proofErr w:type="spellEnd"/>
      <w:r w:rsidRPr="005F4AF8">
        <w:t xml:space="preserve"> семінар для кураторів учнівського самоврядування та практичних психологів загальноосвітніх навчальних закладів на тему </w:t>
      </w:r>
      <w:r w:rsidRPr="005F4AF8">
        <w:rPr>
          <w:bCs/>
        </w:rPr>
        <w:t>«Проект «Шкільна служба порозуміння: впровадження медіації у навчально-виховний процес загальноосвітньої школи» (ХСШ №119, жовтень 2015);</w:t>
      </w:r>
    </w:p>
    <w:p w:rsidR="007249F5" w:rsidRPr="005F4AF8" w:rsidRDefault="007249F5" w:rsidP="007249F5">
      <w:pPr>
        <w:numPr>
          <w:ilvl w:val="0"/>
          <w:numId w:val="1"/>
        </w:numPr>
        <w:tabs>
          <w:tab w:val="clear" w:pos="1803"/>
          <w:tab w:val="num" w:pos="0"/>
        </w:tabs>
        <w:ind w:left="0" w:firstLine="567"/>
        <w:jc w:val="both"/>
      </w:pPr>
      <w:r w:rsidRPr="005F4AF8">
        <w:t>науково-практичний семінар-тренінг практичних психологів загальноосвітніх навч</w:t>
      </w:r>
      <w:r w:rsidRPr="005F4AF8">
        <w:t>а</w:t>
      </w:r>
      <w:r w:rsidRPr="005F4AF8">
        <w:t>льних закладів «Розвиток психосоціальної стійкості до стресу у школярів» (ХЗОШ №113, листопад 2016);</w:t>
      </w:r>
    </w:p>
    <w:p w:rsidR="007249F5" w:rsidRPr="005F4AF8" w:rsidRDefault="007249F5" w:rsidP="007249F5">
      <w:pPr>
        <w:numPr>
          <w:ilvl w:val="0"/>
          <w:numId w:val="1"/>
        </w:numPr>
        <w:tabs>
          <w:tab w:val="clear" w:pos="1803"/>
          <w:tab w:val="num" w:pos="0"/>
        </w:tabs>
        <w:ind w:left="0" w:firstLine="567"/>
        <w:jc w:val="both"/>
      </w:pPr>
      <w:r w:rsidRPr="005F4AF8">
        <w:t>науково-практичний семінар практичних психологів дошкільних навчальних закладів «Розвиток емоційної сфери дітей дошкільного віку, як джерело психологічного благополу</w:t>
      </w:r>
      <w:r w:rsidRPr="005F4AF8">
        <w:t>ч</w:t>
      </w:r>
      <w:r w:rsidRPr="005F4AF8">
        <w:t>чя дитини» (ДНЗ №378, грудень 2015)</w:t>
      </w:r>
      <w:r w:rsidRPr="005F4AF8">
        <w:rPr>
          <w:iCs/>
        </w:rPr>
        <w:t>;</w:t>
      </w:r>
    </w:p>
    <w:p w:rsidR="007249F5" w:rsidRPr="005F4AF8" w:rsidRDefault="007249F5" w:rsidP="007249F5">
      <w:pPr>
        <w:numPr>
          <w:ilvl w:val="0"/>
          <w:numId w:val="1"/>
        </w:numPr>
        <w:tabs>
          <w:tab w:val="clear" w:pos="1803"/>
          <w:tab w:val="num" w:pos="0"/>
        </w:tabs>
        <w:ind w:left="0" w:firstLine="567"/>
        <w:jc w:val="both"/>
      </w:pPr>
      <w:r w:rsidRPr="005F4AF8">
        <w:t xml:space="preserve">проблемний семінар працівників психологічної служби  «Попередження </w:t>
      </w:r>
      <w:proofErr w:type="spellStart"/>
      <w:r w:rsidRPr="005F4AF8">
        <w:t>самоушк</w:t>
      </w:r>
      <w:r w:rsidRPr="005F4AF8">
        <w:t>о</w:t>
      </w:r>
      <w:r w:rsidRPr="005F4AF8">
        <w:t>джень</w:t>
      </w:r>
      <w:proofErr w:type="spellEnd"/>
      <w:r w:rsidRPr="005F4AF8">
        <w:t xml:space="preserve"> серед неповнолітніх» (ХСШ №75, січень 2016)</w:t>
      </w:r>
      <w:r w:rsidRPr="005F4AF8">
        <w:rPr>
          <w:iCs/>
        </w:rPr>
        <w:t>;</w:t>
      </w:r>
    </w:p>
    <w:p w:rsidR="007249F5" w:rsidRPr="005F4AF8" w:rsidRDefault="007249F5" w:rsidP="007249F5">
      <w:pPr>
        <w:numPr>
          <w:ilvl w:val="0"/>
          <w:numId w:val="1"/>
        </w:numPr>
        <w:tabs>
          <w:tab w:val="clear" w:pos="1803"/>
          <w:tab w:val="num" w:pos="0"/>
        </w:tabs>
        <w:ind w:left="0" w:firstLine="567"/>
        <w:jc w:val="both"/>
      </w:pPr>
      <w:r w:rsidRPr="005F4AF8">
        <w:t>науково - практичний семінар для соціальних педагогів «Взаємодія всіх учасників н</w:t>
      </w:r>
      <w:r w:rsidRPr="005F4AF8">
        <w:t>а</w:t>
      </w:r>
      <w:r w:rsidRPr="005F4AF8">
        <w:t>вчально-виховного процесу щодо формування громадянської позиції молоді»  (ХЗОШ №70, лютий 2016);</w:t>
      </w:r>
    </w:p>
    <w:p w:rsidR="007249F5" w:rsidRPr="005F4AF8" w:rsidRDefault="007249F5" w:rsidP="007249F5">
      <w:pPr>
        <w:numPr>
          <w:ilvl w:val="0"/>
          <w:numId w:val="1"/>
        </w:numPr>
        <w:tabs>
          <w:tab w:val="clear" w:pos="1803"/>
          <w:tab w:val="num" w:pos="0"/>
        </w:tabs>
        <w:ind w:left="0" w:firstLine="567"/>
        <w:jc w:val="both"/>
      </w:pPr>
      <w:proofErr w:type="spellStart"/>
      <w:r w:rsidRPr="005F4AF8">
        <w:t>інтерактивно-рефлексійний</w:t>
      </w:r>
      <w:proofErr w:type="spellEnd"/>
      <w:r w:rsidRPr="005F4AF8">
        <w:t xml:space="preserve"> семінар вихователів-методистів та практичних психологів дошкільних навчальних закладів «Ефективна взаємодія педагогів з практичним </w:t>
      </w:r>
      <w:r w:rsidRPr="005F4AF8">
        <w:lastRenderedPageBreak/>
        <w:t>психологом як умова  підвищення якості освіти в дошкільному навчальному закладі» (ДНЗ №240, бер</w:t>
      </w:r>
      <w:r w:rsidRPr="005F4AF8">
        <w:t>е</w:t>
      </w:r>
      <w:r w:rsidRPr="005F4AF8">
        <w:t>зень 2016);</w:t>
      </w:r>
    </w:p>
    <w:p w:rsidR="007249F5" w:rsidRPr="005F4AF8" w:rsidRDefault="007249F5" w:rsidP="007249F5">
      <w:pPr>
        <w:numPr>
          <w:ilvl w:val="0"/>
          <w:numId w:val="1"/>
        </w:numPr>
        <w:tabs>
          <w:tab w:val="clear" w:pos="1803"/>
          <w:tab w:val="num" w:pos="0"/>
        </w:tabs>
        <w:ind w:left="0" w:firstLine="567"/>
        <w:jc w:val="both"/>
      </w:pPr>
      <w:r w:rsidRPr="005F4AF8">
        <w:t>семінари - практикуми (2 заходи) практичних психологів ДНЗ «Використання методів арт-терапії в роботі з дітьми дошкільного віку» (жовтень, листопад 2015);</w:t>
      </w:r>
    </w:p>
    <w:p w:rsidR="007249F5" w:rsidRPr="005F4AF8" w:rsidRDefault="007249F5" w:rsidP="007249F5">
      <w:pPr>
        <w:numPr>
          <w:ilvl w:val="0"/>
          <w:numId w:val="1"/>
        </w:numPr>
        <w:tabs>
          <w:tab w:val="clear" w:pos="1803"/>
          <w:tab w:val="num" w:pos="0"/>
        </w:tabs>
        <w:ind w:left="0" w:firstLine="567"/>
        <w:jc w:val="both"/>
      </w:pPr>
      <w:r w:rsidRPr="005F4AF8">
        <w:t>методична гостинна (2 заходи) практичних психологів ЗНЗ «Розвиток пізнавальної мотивації учнів молодшого шкільного та підліткового віку через формування ціннісних ор</w:t>
      </w:r>
      <w:r w:rsidRPr="005F4AF8">
        <w:t>і</w:t>
      </w:r>
      <w:r w:rsidRPr="005F4AF8">
        <w:t xml:space="preserve">єнтирів» за участю </w:t>
      </w:r>
      <w:proofErr w:type="spellStart"/>
      <w:r w:rsidRPr="005F4AF8">
        <w:t>коуч-психолога</w:t>
      </w:r>
      <w:proofErr w:type="spellEnd"/>
      <w:r w:rsidRPr="005F4AF8">
        <w:t>, представника громадської організації «Чекаємо тата р</w:t>
      </w:r>
      <w:r w:rsidRPr="005F4AF8">
        <w:t>а</w:t>
      </w:r>
      <w:r w:rsidRPr="005F4AF8">
        <w:t>зом» (січень, лютий 2016);</w:t>
      </w:r>
    </w:p>
    <w:p w:rsidR="007249F5" w:rsidRPr="005F4AF8" w:rsidRDefault="007249F5" w:rsidP="007249F5">
      <w:pPr>
        <w:numPr>
          <w:ilvl w:val="0"/>
          <w:numId w:val="1"/>
        </w:numPr>
        <w:tabs>
          <w:tab w:val="clear" w:pos="1803"/>
          <w:tab w:val="num" w:pos="0"/>
        </w:tabs>
        <w:ind w:left="0" w:firstLine="567"/>
        <w:jc w:val="both"/>
      </w:pPr>
      <w:r w:rsidRPr="005F4AF8">
        <w:rPr>
          <w:bCs/>
          <w:iCs/>
        </w:rPr>
        <w:t xml:space="preserve">майстер-клас </w:t>
      </w:r>
      <w:r w:rsidRPr="005F4AF8">
        <w:t xml:space="preserve">практичного психолога ДНЗ №376 </w:t>
      </w:r>
      <w:proofErr w:type="spellStart"/>
      <w:r w:rsidRPr="005F4AF8">
        <w:t>Бекетової</w:t>
      </w:r>
      <w:proofErr w:type="spellEnd"/>
      <w:r w:rsidRPr="005F4AF8">
        <w:t xml:space="preserve"> Ю.Г. </w:t>
      </w:r>
      <w:r w:rsidRPr="005F4AF8">
        <w:rPr>
          <w:bCs/>
          <w:iCs/>
        </w:rPr>
        <w:t>«Розвиток емоційної сфери дітей старшого дошкільного віку»</w:t>
      </w:r>
      <w:r w:rsidRPr="005F4AF8">
        <w:t xml:space="preserve"> (листопад 2015).</w:t>
      </w:r>
    </w:p>
    <w:p w:rsidR="007249F5" w:rsidRPr="005F4AF8" w:rsidRDefault="007249F5" w:rsidP="007249F5">
      <w:pPr>
        <w:jc w:val="both"/>
      </w:pPr>
      <w:r w:rsidRPr="005F4AF8">
        <w:t xml:space="preserve">      На базі методичного центру Управління освіти одинадцятий  рік працюють «Школа м</w:t>
      </w:r>
      <w:r w:rsidRPr="005F4AF8">
        <w:t>о</w:t>
      </w:r>
      <w:r w:rsidRPr="005F4AF8">
        <w:t>лодого психолога загальноосвітнього навчального закладу», «Школа молодого психолога дошкільного навчального закладу» та «Школа соціального педагога — початківця».  У 2015/2016 навчальному  році  районні школи молодих фахівців психологічної служби відв</w:t>
      </w:r>
      <w:r w:rsidRPr="005F4AF8">
        <w:t>і</w:t>
      </w:r>
      <w:r w:rsidRPr="005F4AF8">
        <w:t xml:space="preserve">дували 26 осіб, із них: </w:t>
      </w:r>
    </w:p>
    <w:p w:rsidR="007249F5" w:rsidRPr="005F4AF8" w:rsidRDefault="007249F5" w:rsidP="007249F5">
      <w:pPr>
        <w:jc w:val="both"/>
      </w:pPr>
      <w:r w:rsidRPr="005F4AF8">
        <w:t xml:space="preserve"> - 9  психологів ЗНЗ  (КЗ «ХСШ №15», ХСШ №85, ХГ №163, ХЗОШ №№ 26, 70, 71, 88, 168, ХВЗШ №16); </w:t>
      </w:r>
    </w:p>
    <w:p w:rsidR="007249F5" w:rsidRPr="005F4AF8" w:rsidRDefault="007249F5" w:rsidP="007249F5">
      <w:pPr>
        <w:jc w:val="both"/>
      </w:pPr>
      <w:r w:rsidRPr="005F4AF8">
        <w:t>- 12  психологів ДНЗ  (ДНЗ№№  2</w:t>
      </w:r>
      <w:r w:rsidRPr="005F4AF8">
        <w:rPr>
          <w:lang w:val="ru-RU"/>
        </w:rPr>
        <w:t>68</w:t>
      </w:r>
      <w:r w:rsidRPr="005F4AF8">
        <w:t xml:space="preserve">, </w:t>
      </w:r>
      <w:r w:rsidRPr="005F4AF8">
        <w:rPr>
          <w:lang w:val="ru-RU"/>
        </w:rPr>
        <w:t>280</w:t>
      </w:r>
      <w:r w:rsidRPr="005F4AF8">
        <w:t>, 307, 400 (3 особи), 407 (3 особи), 427, 457, 463);</w:t>
      </w:r>
    </w:p>
    <w:p w:rsidR="007249F5" w:rsidRPr="005F4AF8" w:rsidRDefault="007249F5" w:rsidP="007249F5">
      <w:pPr>
        <w:jc w:val="both"/>
      </w:pPr>
      <w:r w:rsidRPr="005F4AF8">
        <w:t>- 5  соціальних педагогів   (КЗ “ХСШ №15”, ХСШ №№85, 155, ХЗОШ №№104, 121).</w:t>
      </w:r>
    </w:p>
    <w:p w:rsidR="007249F5" w:rsidRPr="005F4AF8" w:rsidRDefault="007249F5" w:rsidP="007249F5">
      <w:pPr>
        <w:jc w:val="both"/>
      </w:pPr>
      <w:r w:rsidRPr="005F4AF8">
        <w:rPr>
          <w:iCs/>
        </w:rPr>
        <w:t xml:space="preserve">     </w:t>
      </w:r>
      <w:r w:rsidRPr="005F4AF8">
        <w:t xml:space="preserve">З метою модернізації системи підвищення кваліфікації  працівників психологічної служби продовжено  систему проведення </w:t>
      </w:r>
      <w:proofErr w:type="spellStart"/>
      <w:r w:rsidRPr="005F4AF8">
        <w:t>інтервізійних</w:t>
      </w:r>
      <w:proofErr w:type="spellEnd"/>
      <w:r w:rsidRPr="005F4AF8">
        <w:t xml:space="preserve"> та </w:t>
      </w:r>
      <w:proofErr w:type="spellStart"/>
      <w:r w:rsidRPr="005F4AF8">
        <w:t>супервізійних</w:t>
      </w:r>
      <w:proofErr w:type="spellEnd"/>
      <w:r w:rsidRPr="005F4AF8">
        <w:t xml:space="preserve"> груп практичних психологів дошкільних та загальноосвітніх навчальних закладів. Тематика засідань </w:t>
      </w:r>
      <w:proofErr w:type="spellStart"/>
      <w:r w:rsidRPr="005F4AF8">
        <w:t>інтервізійних</w:t>
      </w:r>
      <w:proofErr w:type="spellEnd"/>
      <w:r w:rsidRPr="005F4AF8">
        <w:t xml:space="preserve"> груп: «Психологічний супровід обдарованих», «Профілактика </w:t>
      </w:r>
      <w:proofErr w:type="spellStart"/>
      <w:r w:rsidRPr="005F4AF8">
        <w:t>суїцидальних</w:t>
      </w:r>
      <w:proofErr w:type="spellEnd"/>
      <w:r w:rsidRPr="005F4AF8">
        <w:t xml:space="preserve"> проявів серед учнів», «Робота психолога з батьками дітей що мають особливі освітні потреби», «Надання психол</w:t>
      </w:r>
      <w:r w:rsidRPr="005F4AF8">
        <w:t>о</w:t>
      </w:r>
      <w:r w:rsidRPr="005F4AF8">
        <w:t>гічної допомоги дітям, які опинились у складних життєвих обставинах» та інші.</w:t>
      </w:r>
    </w:p>
    <w:p w:rsidR="007249F5" w:rsidRPr="005F4AF8" w:rsidRDefault="007249F5" w:rsidP="007249F5">
      <w:pPr>
        <w:ind w:firstLine="567"/>
        <w:jc w:val="both"/>
        <w:rPr>
          <w:bCs/>
        </w:rPr>
      </w:pPr>
      <w:r w:rsidRPr="005F4AF8">
        <w:rPr>
          <w:bCs/>
        </w:rPr>
        <w:t>З метою профілактики відхилень у поведінці дітей та надання своєчасної допомоги всім учасникам навчально-виховного процесу на рівні району проведені наступні досл</w:t>
      </w:r>
      <w:r w:rsidRPr="005F4AF8">
        <w:rPr>
          <w:bCs/>
        </w:rPr>
        <w:t>і</w:t>
      </w:r>
      <w:r w:rsidRPr="005F4AF8">
        <w:rPr>
          <w:bCs/>
        </w:rPr>
        <w:t>дження:</w:t>
      </w:r>
    </w:p>
    <w:p w:rsidR="007249F5" w:rsidRPr="005F4AF8" w:rsidRDefault="007249F5" w:rsidP="007249F5">
      <w:pPr>
        <w:numPr>
          <w:ilvl w:val="0"/>
          <w:numId w:val="6"/>
        </w:numPr>
        <w:tabs>
          <w:tab w:val="clear" w:pos="870"/>
          <w:tab w:val="num" w:pos="0"/>
        </w:tabs>
        <w:ind w:left="0" w:firstLine="567"/>
        <w:jc w:val="both"/>
        <w:rPr>
          <w:bCs/>
        </w:rPr>
      </w:pPr>
      <w:r w:rsidRPr="005F4AF8">
        <w:rPr>
          <w:bCs/>
        </w:rPr>
        <w:t xml:space="preserve">  обстеження дітей раннього віку щодо вивчення нервово-психічного розвитку з м</w:t>
      </w:r>
      <w:r w:rsidRPr="005F4AF8">
        <w:rPr>
          <w:bCs/>
        </w:rPr>
        <w:t>е</w:t>
      </w:r>
      <w:r w:rsidRPr="005F4AF8">
        <w:rPr>
          <w:bCs/>
        </w:rPr>
        <w:t>тою профілактики відхилень в інтелектуальному й психофізіологічному розвитку вихова</w:t>
      </w:r>
      <w:r w:rsidRPr="005F4AF8">
        <w:rPr>
          <w:bCs/>
        </w:rPr>
        <w:t>н</w:t>
      </w:r>
      <w:r w:rsidRPr="005F4AF8">
        <w:rPr>
          <w:bCs/>
        </w:rPr>
        <w:t>ців;</w:t>
      </w:r>
    </w:p>
    <w:p w:rsidR="007249F5" w:rsidRPr="005F4AF8" w:rsidRDefault="007249F5" w:rsidP="007249F5">
      <w:pPr>
        <w:numPr>
          <w:ilvl w:val="0"/>
          <w:numId w:val="6"/>
        </w:numPr>
        <w:tabs>
          <w:tab w:val="clear" w:pos="870"/>
          <w:tab w:val="num" w:pos="0"/>
        </w:tabs>
        <w:ind w:left="0" w:firstLine="567"/>
        <w:jc w:val="both"/>
        <w:rPr>
          <w:bCs/>
        </w:rPr>
      </w:pPr>
      <w:r w:rsidRPr="005F4AF8">
        <w:rPr>
          <w:bCs/>
        </w:rPr>
        <w:t xml:space="preserve">  обстеження дітей старших груп дошкільних навчальних закладів щодо визначення рівня психологічної готовності до навчання у школі;</w:t>
      </w:r>
    </w:p>
    <w:p w:rsidR="007249F5" w:rsidRPr="005F4AF8" w:rsidRDefault="007249F5" w:rsidP="007249F5">
      <w:pPr>
        <w:numPr>
          <w:ilvl w:val="0"/>
          <w:numId w:val="6"/>
        </w:numPr>
        <w:tabs>
          <w:tab w:val="clear" w:pos="870"/>
          <w:tab w:val="num" w:pos="0"/>
        </w:tabs>
        <w:ind w:left="0" w:firstLine="567"/>
        <w:jc w:val="both"/>
        <w:rPr>
          <w:bCs/>
        </w:rPr>
      </w:pPr>
      <w:r w:rsidRPr="005F4AF8">
        <w:rPr>
          <w:bCs/>
        </w:rPr>
        <w:t xml:space="preserve">  вивчення адаптації першокласників до школи;</w:t>
      </w:r>
    </w:p>
    <w:p w:rsidR="007249F5" w:rsidRPr="005F4AF8" w:rsidRDefault="007249F5" w:rsidP="007249F5">
      <w:pPr>
        <w:numPr>
          <w:ilvl w:val="0"/>
          <w:numId w:val="6"/>
        </w:numPr>
        <w:jc w:val="both"/>
        <w:rPr>
          <w:bCs/>
        </w:rPr>
      </w:pPr>
      <w:r w:rsidRPr="005F4AF8">
        <w:rPr>
          <w:bCs/>
        </w:rPr>
        <w:t>вивчення готовність випускників початкової школи до навчання у школі ІІ ступеня;</w:t>
      </w:r>
    </w:p>
    <w:p w:rsidR="007249F5" w:rsidRPr="005F4AF8" w:rsidRDefault="007249F5" w:rsidP="007249F5">
      <w:pPr>
        <w:numPr>
          <w:ilvl w:val="0"/>
          <w:numId w:val="6"/>
        </w:numPr>
        <w:jc w:val="both"/>
        <w:rPr>
          <w:bCs/>
        </w:rPr>
      </w:pPr>
      <w:r w:rsidRPr="005F4AF8">
        <w:rPr>
          <w:bCs/>
        </w:rPr>
        <w:t>вивчення особливостей адаптації учнів 5-х класів до навчання у середній ланці шк</w:t>
      </w:r>
      <w:r w:rsidRPr="005F4AF8">
        <w:rPr>
          <w:bCs/>
        </w:rPr>
        <w:t>о</w:t>
      </w:r>
      <w:r w:rsidRPr="005F4AF8">
        <w:rPr>
          <w:bCs/>
        </w:rPr>
        <w:t>ли;</w:t>
      </w:r>
    </w:p>
    <w:p w:rsidR="007249F5" w:rsidRPr="005F4AF8" w:rsidRDefault="007249F5" w:rsidP="007249F5">
      <w:pPr>
        <w:numPr>
          <w:ilvl w:val="0"/>
          <w:numId w:val="6"/>
        </w:numPr>
        <w:jc w:val="both"/>
        <w:rPr>
          <w:bCs/>
        </w:rPr>
      </w:pPr>
      <w:r w:rsidRPr="005F4AF8">
        <w:rPr>
          <w:bCs/>
        </w:rPr>
        <w:t>вивчення потреб учнів 9-х класів, з урахуванням їхніх особистісних особливостей, спрямованості особистості тощо, з метою вибору подальшого профілю навчання та профорієнтації;</w:t>
      </w:r>
    </w:p>
    <w:p w:rsidR="007249F5" w:rsidRPr="005F4AF8" w:rsidRDefault="007249F5" w:rsidP="007249F5">
      <w:pPr>
        <w:numPr>
          <w:ilvl w:val="0"/>
          <w:numId w:val="6"/>
        </w:numPr>
        <w:jc w:val="both"/>
        <w:rPr>
          <w:bCs/>
        </w:rPr>
      </w:pPr>
      <w:r w:rsidRPr="005F4AF8">
        <w:rPr>
          <w:bCs/>
        </w:rPr>
        <w:t>виявлення соціально обдарованих серед учнів 10-х класів.</w:t>
      </w:r>
    </w:p>
    <w:p w:rsidR="007249F5" w:rsidRPr="005F4AF8" w:rsidRDefault="007249F5" w:rsidP="007249F5">
      <w:pPr>
        <w:jc w:val="both"/>
        <w:rPr>
          <w:bCs/>
        </w:rPr>
      </w:pPr>
    </w:p>
    <w:p w:rsidR="007249F5" w:rsidRPr="005F4AF8" w:rsidRDefault="007249F5" w:rsidP="007249F5">
      <w:pPr>
        <w:jc w:val="center"/>
        <w:rPr>
          <w:iCs/>
        </w:rPr>
      </w:pPr>
      <w:r w:rsidRPr="005F4AF8">
        <w:rPr>
          <w:iCs/>
        </w:rPr>
        <w:t>Кількість досліджуваних  дітей раннього віку</w:t>
      </w:r>
    </w:p>
    <w:p w:rsidR="007249F5" w:rsidRPr="005F4AF8" w:rsidRDefault="007249F5" w:rsidP="007249F5">
      <w:pPr>
        <w:jc w:val="center"/>
        <w:rPr>
          <w:iCs/>
        </w:rPr>
      </w:pPr>
      <w:r>
        <w:rPr>
          <w:iCs/>
          <w:noProof/>
          <w:lang w:val="ru-RU"/>
        </w:rPr>
        <w:lastRenderedPageBreak/>
        <w:drawing>
          <wp:inline distT="0" distB="0" distL="0" distR="0">
            <wp:extent cx="4543425" cy="249555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49F5" w:rsidRPr="005F4AF8" w:rsidRDefault="007249F5" w:rsidP="007249F5">
      <w:pPr>
        <w:ind w:firstLine="567"/>
        <w:jc w:val="both"/>
      </w:pPr>
      <w:r w:rsidRPr="005F4AF8">
        <w:t xml:space="preserve">У  2015/2016 навчальному році обстежено менше дітей, ніж у попередніх роках у </w:t>
      </w:r>
      <w:proofErr w:type="spellStart"/>
      <w:r w:rsidRPr="005F4AF8">
        <w:t>зв</w:t>
      </w:r>
      <w:proofErr w:type="spellEnd"/>
      <w:r w:rsidRPr="005F4AF8">
        <w:rPr>
          <w:lang w:val="ru-RU"/>
        </w:rPr>
        <w:t>’</w:t>
      </w:r>
      <w:proofErr w:type="spellStart"/>
      <w:r w:rsidRPr="005F4AF8">
        <w:rPr>
          <w:lang w:val="ru-RU"/>
        </w:rPr>
        <w:t>язку</w:t>
      </w:r>
      <w:proofErr w:type="spellEnd"/>
      <w:r w:rsidRPr="005F4AF8">
        <w:rPr>
          <w:lang w:val="ru-RU"/>
        </w:rPr>
        <w:t xml:space="preserve"> </w:t>
      </w:r>
      <w:proofErr w:type="spellStart"/>
      <w:r w:rsidRPr="005F4AF8">
        <w:rPr>
          <w:lang w:val="ru-RU"/>
        </w:rPr>
        <w:t>зі</w:t>
      </w:r>
      <w:proofErr w:type="spellEnd"/>
      <w:r w:rsidRPr="005F4AF8">
        <w:t xml:space="preserve"> зменшенням кількості  практичних психологів, які працюють у дошкільних навч</w:t>
      </w:r>
      <w:r w:rsidRPr="005F4AF8">
        <w:t>а</w:t>
      </w:r>
      <w:r w:rsidRPr="005F4AF8">
        <w:t xml:space="preserve">льних закладах. </w:t>
      </w:r>
    </w:p>
    <w:p w:rsidR="007249F5" w:rsidRPr="005F4AF8" w:rsidRDefault="007249F5" w:rsidP="007249F5">
      <w:pPr>
        <w:jc w:val="center"/>
      </w:pPr>
    </w:p>
    <w:p w:rsidR="007249F5" w:rsidRPr="005F4AF8" w:rsidRDefault="007249F5" w:rsidP="007249F5">
      <w:pPr>
        <w:jc w:val="center"/>
        <w:rPr>
          <w:iCs/>
        </w:rPr>
      </w:pPr>
      <w:r w:rsidRPr="005F4AF8">
        <w:rPr>
          <w:iCs/>
        </w:rPr>
        <w:t>Результати обстеження дітей раннього віку</w:t>
      </w:r>
    </w:p>
    <w:p w:rsidR="007249F5" w:rsidRPr="005F4AF8" w:rsidRDefault="007249F5" w:rsidP="007249F5">
      <w:pPr>
        <w:ind w:firstLine="567"/>
        <w:jc w:val="center"/>
      </w:pPr>
      <w:r>
        <w:rPr>
          <w:noProof/>
          <w:lang w:val="ru-RU"/>
        </w:rPr>
        <w:drawing>
          <wp:inline distT="0" distB="0" distL="0" distR="0">
            <wp:extent cx="4219575" cy="18097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49F5" w:rsidRPr="005F4AF8" w:rsidRDefault="007249F5" w:rsidP="007249F5">
      <w:pPr>
        <w:jc w:val="both"/>
      </w:pPr>
      <w:r w:rsidRPr="005F4AF8">
        <w:t xml:space="preserve">        Аналіз отриманих результатів свідчить про те, що більшість дітей   розвиваються відп</w:t>
      </w:r>
      <w:r w:rsidRPr="005F4AF8">
        <w:t>о</w:t>
      </w:r>
      <w:r w:rsidRPr="005F4AF8">
        <w:t xml:space="preserve">відно до віку,  кількість дітей з проблемами розвитку   зменшується. Практичні психологи проводять </w:t>
      </w:r>
      <w:proofErr w:type="spellStart"/>
      <w:r w:rsidRPr="005F4AF8">
        <w:t>корекційно-відновлювальну</w:t>
      </w:r>
      <w:proofErr w:type="spellEnd"/>
      <w:r w:rsidRPr="005F4AF8">
        <w:t xml:space="preserve"> роботу з дітьми, надають консультативну допомогу вихователям та батькам. </w:t>
      </w:r>
    </w:p>
    <w:p w:rsidR="007249F5" w:rsidRPr="005F4AF8" w:rsidRDefault="007249F5" w:rsidP="007249F5">
      <w:pPr>
        <w:jc w:val="center"/>
        <w:rPr>
          <w:lang w:val="ru-RU"/>
        </w:rPr>
      </w:pPr>
    </w:p>
    <w:p w:rsidR="007249F5" w:rsidRPr="005F4AF8" w:rsidRDefault="007249F5" w:rsidP="007249F5">
      <w:pPr>
        <w:jc w:val="center"/>
        <w:rPr>
          <w:lang w:val="ru-RU"/>
        </w:rPr>
      </w:pPr>
      <w:proofErr w:type="spellStart"/>
      <w:r w:rsidRPr="005F4AF8">
        <w:rPr>
          <w:lang w:val="ru-RU"/>
        </w:rPr>
        <w:t>Кількість</w:t>
      </w:r>
      <w:proofErr w:type="spellEnd"/>
      <w:r w:rsidRPr="005F4AF8">
        <w:rPr>
          <w:lang w:val="ru-RU"/>
        </w:rPr>
        <w:t xml:space="preserve"> </w:t>
      </w:r>
      <w:proofErr w:type="spellStart"/>
      <w:proofErr w:type="gramStart"/>
      <w:r w:rsidRPr="005F4AF8">
        <w:rPr>
          <w:lang w:val="ru-RU"/>
        </w:rPr>
        <w:t>досл</w:t>
      </w:r>
      <w:proofErr w:type="gramEnd"/>
      <w:r w:rsidRPr="005F4AF8">
        <w:rPr>
          <w:lang w:val="ru-RU"/>
        </w:rPr>
        <w:t>іджуваних</w:t>
      </w:r>
      <w:proofErr w:type="spellEnd"/>
      <w:r w:rsidRPr="005F4AF8">
        <w:rPr>
          <w:lang w:val="ru-RU"/>
        </w:rPr>
        <w:t xml:space="preserve"> </w:t>
      </w:r>
      <w:proofErr w:type="spellStart"/>
      <w:r w:rsidRPr="005F4AF8">
        <w:rPr>
          <w:lang w:val="ru-RU"/>
        </w:rPr>
        <w:t>дітей</w:t>
      </w:r>
      <w:proofErr w:type="spellEnd"/>
      <w:r w:rsidRPr="005F4AF8">
        <w:rPr>
          <w:lang w:val="ru-RU"/>
        </w:rPr>
        <w:t xml:space="preserve"> старшого </w:t>
      </w:r>
      <w:proofErr w:type="spellStart"/>
      <w:r w:rsidRPr="005F4AF8">
        <w:rPr>
          <w:lang w:val="ru-RU"/>
        </w:rPr>
        <w:t>дошкільного</w:t>
      </w:r>
      <w:proofErr w:type="spellEnd"/>
      <w:r w:rsidRPr="005F4AF8">
        <w:rPr>
          <w:lang w:val="ru-RU"/>
        </w:rPr>
        <w:t xml:space="preserve"> </w:t>
      </w:r>
      <w:proofErr w:type="spellStart"/>
      <w:r w:rsidRPr="005F4AF8">
        <w:rPr>
          <w:lang w:val="ru-RU"/>
        </w:rPr>
        <w:t>віку</w:t>
      </w:r>
      <w:proofErr w:type="spellEnd"/>
    </w:p>
    <w:p w:rsidR="007249F5" w:rsidRPr="005F4AF8" w:rsidRDefault="007249F5" w:rsidP="007249F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7432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49F5" w:rsidRPr="005F4AF8" w:rsidRDefault="007249F5" w:rsidP="007249F5">
      <w:pPr>
        <w:jc w:val="center"/>
        <w:rPr>
          <w:lang w:val="ru-RU"/>
        </w:rPr>
      </w:pPr>
    </w:p>
    <w:p w:rsidR="007249F5" w:rsidRPr="005F4AF8" w:rsidRDefault="007249F5" w:rsidP="007249F5">
      <w:pPr>
        <w:jc w:val="center"/>
        <w:rPr>
          <w:lang w:val="ru-RU"/>
        </w:rPr>
      </w:pPr>
      <w:proofErr w:type="spellStart"/>
      <w:r w:rsidRPr="005F4AF8">
        <w:rPr>
          <w:lang w:val="ru-RU"/>
        </w:rPr>
        <w:t>Результати</w:t>
      </w:r>
      <w:proofErr w:type="spellEnd"/>
      <w:r w:rsidRPr="005F4AF8">
        <w:rPr>
          <w:lang w:val="ru-RU"/>
        </w:rPr>
        <w:t xml:space="preserve"> </w:t>
      </w:r>
      <w:proofErr w:type="spellStart"/>
      <w:r w:rsidRPr="005F4AF8">
        <w:rPr>
          <w:lang w:val="ru-RU"/>
        </w:rPr>
        <w:t>обстеження</w:t>
      </w:r>
      <w:proofErr w:type="spellEnd"/>
      <w:r w:rsidRPr="005F4AF8">
        <w:rPr>
          <w:lang w:val="ru-RU"/>
        </w:rPr>
        <w:t xml:space="preserve"> </w:t>
      </w:r>
      <w:proofErr w:type="spellStart"/>
      <w:r w:rsidRPr="005F4AF8">
        <w:rPr>
          <w:lang w:val="ru-RU"/>
        </w:rPr>
        <w:t>дітей</w:t>
      </w:r>
      <w:proofErr w:type="spellEnd"/>
      <w:r w:rsidRPr="005F4AF8">
        <w:rPr>
          <w:lang w:val="ru-RU"/>
        </w:rPr>
        <w:t xml:space="preserve"> </w:t>
      </w:r>
      <w:proofErr w:type="gramStart"/>
      <w:r w:rsidRPr="005F4AF8">
        <w:rPr>
          <w:lang w:val="ru-RU"/>
        </w:rPr>
        <w:t>старшого</w:t>
      </w:r>
      <w:proofErr w:type="gramEnd"/>
      <w:r w:rsidRPr="005F4AF8">
        <w:rPr>
          <w:lang w:val="ru-RU"/>
        </w:rPr>
        <w:t xml:space="preserve"> </w:t>
      </w:r>
      <w:proofErr w:type="spellStart"/>
      <w:r w:rsidRPr="005F4AF8">
        <w:rPr>
          <w:lang w:val="ru-RU"/>
        </w:rPr>
        <w:t>дошкільного</w:t>
      </w:r>
      <w:proofErr w:type="spellEnd"/>
      <w:r w:rsidRPr="005F4AF8">
        <w:rPr>
          <w:lang w:val="ru-RU"/>
        </w:rPr>
        <w:t xml:space="preserve"> </w:t>
      </w:r>
      <w:proofErr w:type="spellStart"/>
      <w:r w:rsidRPr="005F4AF8">
        <w:rPr>
          <w:lang w:val="ru-RU"/>
        </w:rPr>
        <w:t>віку</w:t>
      </w:r>
      <w:proofErr w:type="spellEnd"/>
    </w:p>
    <w:p w:rsidR="007249F5" w:rsidRPr="005F4AF8" w:rsidRDefault="007249F5" w:rsidP="007249F5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457700" cy="25622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49F5" w:rsidRPr="005F4AF8" w:rsidRDefault="007249F5" w:rsidP="007249F5">
      <w:pPr>
        <w:jc w:val="both"/>
      </w:pPr>
      <w:r w:rsidRPr="005F4AF8">
        <w:t xml:space="preserve">      Аналіз вивчення  рівня готовності дітей старшого дошкільного віку до навчання у школі свідчить про зростання кількості дітей, які недостатньо готові до навчання, потребують пі</w:t>
      </w:r>
      <w:r w:rsidRPr="005F4AF8">
        <w:t>д</w:t>
      </w:r>
      <w:r w:rsidRPr="005F4AF8">
        <w:t>вищеної психолого-педагогічної уваги.</w:t>
      </w:r>
    </w:p>
    <w:p w:rsidR="007249F5" w:rsidRDefault="007249F5" w:rsidP="007249F5">
      <w:pPr>
        <w:jc w:val="center"/>
      </w:pPr>
    </w:p>
    <w:p w:rsidR="007249F5" w:rsidRDefault="007249F5" w:rsidP="007249F5">
      <w:pPr>
        <w:jc w:val="center"/>
      </w:pPr>
    </w:p>
    <w:p w:rsidR="007249F5" w:rsidRDefault="007249F5" w:rsidP="007249F5">
      <w:pPr>
        <w:jc w:val="center"/>
      </w:pPr>
    </w:p>
    <w:p w:rsidR="007249F5" w:rsidRPr="005F4AF8" w:rsidRDefault="007249F5" w:rsidP="007249F5">
      <w:pPr>
        <w:jc w:val="center"/>
      </w:pPr>
    </w:p>
    <w:p w:rsidR="007249F5" w:rsidRPr="005F4AF8" w:rsidRDefault="007249F5" w:rsidP="007249F5">
      <w:pPr>
        <w:jc w:val="center"/>
      </w:pPr>
      <w:r w:rsidRPr="005F4AF8">
        <w:t xml:space="preserve">Динаміка адаптації учнів 1-х класів </w:t>
      </w:r>
    </w:p>
    <w:p w:rsidR="007249F5" w:rsidRPr="005F4AF8" w:rsidRDefault="007249F5" w:rsidP="007249F5">
      <w:pPr>
        <w:jc w:val="center"/>
      </w:pPr>
    </w:p>
    <w:p w:rsidR="007249F5" w:rsidRPr="005F4AF8" w:rsidRDefault="007249F5" w:rsidP="007249F5">
      <w:pPr>
        <w:jc w:val="center"/>
      </w:pPr>
      <w:r>
        <w:rPr>
          <w:noProof/>
          <w:lang w:val="ru-RU"/>
        </w:rPr>
        <w:drawing>
          <wp:inline distT="0" distB="0" distL="0" distR="0">
            <wp:extent cx="4419600" cy="22955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49F5" w:rsidRPr="005F4AF8" w:rsidRDefault="007249F5" w:rsidP="007249F5">
      <w:pPr>
        <w:ind w:firstLine="567"/>
        <w:jc w:val="both"/>
      </w:pPr>
      <w:r w:rsidRPr="005F4AF8">
        <w:t>Психологічний супровід адаптації дітей 6-тирічного віку до навчання у школі є пріор</w:t>
      </w:r>
      <w:r w:rsidRPr="005F4AF8">
        <w:t>и</w:t>
      </w:r>
      <w:r w:rsidRPr="005F4AF8">
        <w:t>тетним напрямом діяльності працівників служби. На кінець року залишилися учні, які   ада</w:t>
      </w:r>
      <w:r w:rsidRPr="005F4AF8">
        <w:t>п</w:t>
      </w:r>
      <w:r w:rsidRPr="005F4AF8">
        <w:t>товані на низькому рівні, що свідчить про необхідність активізації профілактичної, просві</w:t>
      </w:r>
      <w:r w:rsidRPr="005F4AF8">
        <w:t>т</w:t>
      </w:r>
      <w:r w:rsidRPr="005F4AF8">
        <w:t xml:space="preserve">ницької роботи насамперед з батьками, та вдосконалення </w:t>
      </w:r>
      <w:proofErr w:type="spellStart"/>
      <w:r w:rsidRPr="005F4AF8">
        <w:t>корекційно-розвивальної</w:t>
      </w:r>
      <w:proofErr w:type="spellEnd"/>
      <w:r w:rsidRPr="005F4AF8">
        <w:t xml:space="preserve"> роботи психологів.</w:t>
      </w:r>
    </w:p>
    <w:p w:rsidR="007249F5" w:rsidRPr="005F4AF8" w:rsidRDefault="007249F5" w:rsidP="007249F5">
      <w:pPr>
        <w:jc w:val="center"/>
      </w:pPr>
    </w:p>
    <w:p w:rsidR="007249F5" w:rsidRPr="005F4AF8" w:rsidRDefault="007249F5" w:rsidP="007249F5">
      <w:pPr>
        <w:jc w:val="center"/>
      </w:pPr>
      <w:r w:rsidRPr="005F4AF8">
        <w:t xml:space="preserve">Результати </w:t>
      </w:r>
      <w:proofErr w:type="spellStart"/>
      <w:r w:rsidRPr="005F4AF8">
        <w:t>психодіагностичної</w:t>
      </w:r>
      <w:proofErr w:type="spellEnd"/>
      <w:r w:rsidRPr="005F4AF8">
        <w:t xml:space="preserve"> роботи практичних психологів </w:t>
      </w:r>
    </w:p>
    <w:p w:rsidR="007249F5" w:rsidRPr="005F4AF8" w:rsidRDefault="007249F5" w:rsidP="007249F5">
      <w:pPr>
        <w:jc w:val="center"/>
      </w:pPr>
      <w:r w:rsidRPr="005F4AF8">
        <w:t xml:space="preserve">дошкільних та загальноосвітніх навчальних закладів </w:t>
      </w:r>
    </w:p>
    <w:tbl>
      <w:tblPr>
        <w:tblW w:w="102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134"/>
        <w:gridCol w:w="1417"/>
        <w:gridCol w:w="1426"/>
        <w:gridCol w:w="1459"/>
      </w:tblGrid>
      <w:tr w:rsidR="007249F5" w:rsidRPr="005F4AF8" w:rsidTr="00860AD4">
        <w:trPr>
          <w:trHeight w:val="146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  <w:r w:rsidRPr="005F4AF8">
              <w:t>Тема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Цільова група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Вибірка</w:t>
            </w:r>
          </w:p>
        </w:tc>
        <w:tc>
          <w:tcPr>
            <w:tcW w:w="43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ind w:firstLine="709"/>
            </w:pPr>
            <w:r w:rsidRPr="005F4AF8">
              <w:t xml:space="preserve">           Рівень</w:t>
            </w:r>
          </w:p>
        </w:tc>
      </w:tr>
      <w:tr w:rsidR="007249F5" w:rsidRPr="005F4AF8" w:rsidTr="00860AD4">
        <w:trPr>
          <w:trHeight w:val="146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високий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середній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низький</w:t>
            </w:r>
          </w:p>
        </w:tc>
      </w:tr>
      <w:tr w:rsidR="007249F5" w:rsidRPr="005F4AF8" w:rsidTr="00860AD4">
        <w:trPr>
          <w:trHeight w:val="59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Нервово-психічний розвиток  дитини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 xml:space="preserve">Діти раннього віку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744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121</w:t>
            </w:r>
          </w:p>
          <w:p w:rsidR="007249F5" w:rsidRPr="005F4AF8" w:rsidRDefault="007249F5" w:rsidP="00860AD4">
            <w:pPr>
              <w:jc w:val="both"/>
            </w:pPr>
            <w:r w:rsidRPr="005F4AF8">
              <w:t>16%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r w:rsidRPr="005F4AF8">
              <w:t>556</w:t>
            </w:r>
          </w:p>
          <w:p w:rsidR="007249F5" w:rsidRPr="005F4AF8" w:rsidRDefault="007249F5" w:rsidP="00860AD4">
            <w:r w:rsidRPr="005F4AF8">
              <w:t>75%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67</w:t>
            </w:r>
          </w:p>
          <w:p w:rsidR="007249F5" w:rsidRPr="005F4AF8" w:rsidRDefault="007249F5" w:rsidP="00860AD4">
            <w:pPr>
              <w:jc w:val="both"/>
            </w:pPr>
            <w:r w:rsidRPr="005F4AF8">
              <w:t>9%</w:t>
            </w:r>
          </w:p>
        </w:tc>
      </w:tr>
      <w:tr w:rsidR="007249F5" w:rsidRPr="005F4AF8" w:rsidTr="00860AD4">
        <w:trPr>
          <w:trHeight w:val="146"/>
        </w:trPr>
        <w:tc>
          <w:tcPr>
            <w:tcW w:w="2410" w:type="dxa"/>
            <w:vMerge w:val="restart"/>
            <w:tcBorders>
              <w:lef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Психологічна гото</w:t>
            </w:r>
            <w:r w:rsidRPr="005F4AF8">
              <w:t>в</w:t>
            </w:r>
            <w:r w:rsidRPr="005F4AF8">
              <w:t xml:space="preserve">ність дітей до </w:t>
            </w:r>
            <w:r w:rsidRPr="005F4AF8">
              <w:lastRenderedPageBreak/>
              <w:t>навча</w:t>
            </w:r>
            <w:r w:rsidRPr="005F4AF8">
              <w:t>н</w:t>
            </w:r>
            <w:r w:rsidRPr="005F4AF8">
              <w:t xml:space="preserve">ня у школі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lastRenderedPageBreak/>
              <w:t>Вихованці старших груп ДНЗ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1004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267</w:t>
            </w:r>
          </w:p>
          <w:p w:rsidR="007249F5" w:rsidRPr="005F4AF8" w:rsidRDefault="007249F5" w:rsidP="00860AD4">
            <w:pPr>
              <w:jc w:val="both"/>
            </w:pPr>
            <w:r w:rsidRPr="005F4AF8">
              <w:t>27%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r w:rsidRPr="005F4AF8">
              <w:t>638</w:t>
            </w:r>
          </w:p>
          <w:p w:rsidR="007249F5" w:rsidRPr="005F4AF8" w:rsidRDefault="007249F5" w:rsidP="00860AD4">
            <w:r w:rsidRPr="005F4AF8">
              <w:t>63 %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99</w:t>
            </w:r>
          </w:p>
          <w:p w:rsidR="007249F5" w:rsidRPr="005F4AF8" w:rsidRDefault="007249F5" w:rsidP="00860AD4">
            <w:pPr>
              <w:jc w:val="both"/>
            </w:pPr>
            <w:r w:rsidRPr="005F4AF8">
              <w:t>10%</w:t>
            </w:r>
          </w:p>
        </w:tc>
      </w:tr>
      <w:tr w:rsidR="007249F5" w:rsidRPr="005F4AF8" w:rsidTr="00860AD4">
        <w:trPr>
          <w:trHeight w:val="916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tabs>
                <w:tab w:val="left" w:pos="1480"/>
              </w:tabs>
              <w:spacing w:after="200" w:line="276" w:lineRule="auto"/>
            </w:pPr>
            <w:r w:rsidRPr="005F4AF8">
              <w:t>Майбутні першокла</w:t>
            </w:r>
            <w:r w:rsidRPr="005F4AF8">
              <w:t>с</w:t>
            </w:r>
            <w:r w:rsidRPr="005F4AF8">
              <w:t>ники спеціалізованих шкіл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669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175</w:t>
            </w:r>
          </w:p>
          <w:p w:rsidR="007249F5" w:rsidRPr="005F4AF8" w:rsidRDefault="007249F5" w:rsidP="00860AD4">
            <w:pPr>
              <w:jc w:val="both"/>
            </w:pPr>
            <w:r w:rsidRPr="005F4AF8">
              <w:t>26%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462</w:t>
            </w:r>
          </w:p>
          <w:p w:rsidR="007249F5" w:rsidRPr="005F4AF8" w:rsidRDefault="007249F5" w:rsidP="00860AD4">
            <w:pPr>
              <w:jc w:val="both"/>
            </w:pPr>
            <w:r w:rsidRPr="005F4AF8">
              <w:t>69%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r w:rsidRPr="005F4AF8">
              <w:t>32</w:t>
            </w:r>
          </w:p>
          <w:p w:rsidR="007249F5" w:rsidRPr="005F4AF8" w:rsidRDefault="007249F5" w:rsidP="00860AD4">
            <w:r w:rsidRPr="005F4AF8">
              <w:t>5%</w:t>
            </w:r>
          </w:p>
        </w:tc>
      </w:tr>
      <w:tr w:rsidR="007249F5" w:rsidRPr="005F4AF8" w:rsidTr="00860AD4">
        <w:trPr>
          <w:trHeight w:val="146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lastRenderedPageBreak/>
              <w:t>Адаптація першокл</w:t>
            </w:r>
            <w:r w:rsidRPr="005F4AF8">
              <w:t>а</w:t>
            </w:r>
            <w:r w:rsidRPr="005F4AF8">
              <w:t xml:space="preserve">сників до школи. </w:t>
            </w:r>
          </w:p>
          <w:p w:rsidR="007249F5" w:rsidRPr="005F4AF8" w:rsidRDefault="007249F5" w:rsidP="00860AD4">
            <w:pPr>
              <w:jc w:val="both"/>
            </w:pPr>
            <w:r w:rsidRPr="005F4AF8">
              <w:t>(І семестр)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Учні 1-х класів ЗНЗ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1202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449</w:t>
            </w:r>
          </w:p>
          <w:p w:rsidR="007249F5" w:rsidRPr="005F4AF8" w:rsidRDefault="007249F5" w:rsidP="00860AD4">
            <w:pPr>
              <w:jc w:val="both"/>
              <w:rPr>
                <w:color w:val="C00000"/>
              </w:rPr>
            </w:pPr>
            <w:r w:rsidRPr="005F4AF8">
              <w:t>37%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672</w:t>
            </w:r>
          </w:p>
          <w:p w:rsidR="007249F5" w:rsidRPr="005F4AF8" w:rsidRDefault="007249F5" w:rsidP="00860AD4">
            <w:pPr>
              <w:jc w:val="both"/>
              <w:rPr>
                <w:color w:val="C00000"/>
              </w:rPr>
            </w:pPr>
            <w:r w:rsidRPr="005F4AF8">
              <w:t>56%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r w:rsidRPr="005F4AF8">
              <w:t>81</w:t>
            </w:r>
          </w:p>
          <w:p w:rsidR="007249F5" w:rsidRPr="005F4AF8" w:rsidRDefault="007249F5" w:rsidP="00860AD4">
            <w:pPr>
              <w:rPr>
                <w:color w:val="C00000"/>
              </w:rPr>
            </w:pPr>
            <w:r w:rsidRPr="005F4AF8">
              <w:t>7%</w:t>
            </w:r>
          </w:p>
        </w:tc>
      </w:tr>
      <w:tr w:rsidR="007249F5" w:rsidRPr="005F4AF8" w:rsidTr="00860AD4">
        <w:trPr>
          <w:trHeight w:val="146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Адаптація першокл</w:t>
            </w:r>
            <w:r w:rsidRPr="005F4AF8">
              <w:t>а</w:t>
            </w:r>
            <w:r w:rsidRPr="005F4AF8">
              <w:t>сників до школи.</w:t>
            </w:r>
          </w:p>
          <w:p w:rsidR="007249F5" w:rsidRPr="005F4AF8" w:rsidRDefault="007249F5" w:rsidP="00860AD4">
            <w:pPr>
              <w:jc w:val="both"/>
            </w:pPr>
            <w:r w:rsidRPr="005F4AF8">
              <w:t>(Наприкінці року)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Учні 1-х класів ЗНЗ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1021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512</w:t>
            </w:r>
          </w:p>
          <w:p w:rsidR="007249F5" w:rsidRPr="005F4AF8" w:rsidRDefault="007249F5" w:rsidP="00860AD4">
            <w:pPr>
              <w:jc w:val="both"/>
            </w:pPr>
            <w:r w:rsidRPr="005F4AF8">
              <w:t>50%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478</w:t>
            </w:r>
          </w:p>
          <w:p w:rsidR="007249F5" w:rsidRPr="005F4AF8" w:rsidRDefault="007249F5" w:rsidP="00860AD4">
            <w:pPr>
              <w:jc w:val="both"/>
            </w:pPr>
            <w:r w:rsidRPr="005F4AF8">
              <w:t>47%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r w:rsidRPr="005F4AF8">
              <w:t>31</w:t>
            </w:r>
          </w:p>
          <w:p w:rsidR="007249F5" w:rsidRPr="005F4AF8" w:rsidRDefault="007249F5" w:rsidP="00860AD4">
            <w:r w:rsidRPr="005F4AF8">
              <w:t>3%</w:t>
            </w:r>
          </w:p>
        </w:tc>
      </w:tr>
      <w:tr w:rsidR="007249F5" w:rsidRPr="005F4AF8" w:rsidTr="00860AD4">
        <w:trPr>
          <w:trHeight w:val="478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Адаптація учнів до середньої школи.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 xml:space="preserve">Учні 5-х класів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977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195</w:t>
            </w:r>
          </w:p>
          <w:p w:rsidR="007249F5" w:rsidRPr="005F4AF8" w:rsidRDefault="007249F5" w:rsidP="00860AD4">
            <w:pPr>
              <w:jc w:val="both"/>
            </w:pPr>
            <w:r w:rsidRPr="005F4AF8">
              <w:t>20%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637</w:t>
            </w:r>
          </w:p>
          <w:p w:rsidR="007249F5" w:rsidRPr="005F4AF8" w:rsidRDefault="007249F5" w:rsidP="00860AD4">
            <w:pPr>
              <w:jc w:val="both"/>
            </w:pPr>
            <w:r w:rsidRPr="005F4AF8">
              <w:t>65%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jc w:val="both"/>
              <w:rPr>
                <w:lang w:val="en-US"/>
              </w:rPr>
            </w:pPr>
            <w:r w:rsidRPr="005F4AF8">
              <w:t>14</w:t>
            </w:r>
            <w:r w:rsidRPr="005F4AF8">
              <w:rPr>
                <w:lang w:val="en-US"/>
              </w:rPr>
              <w:t>5</w:t>
            </w:r>
          </w:p>
          <w:p w:rsidR="007249F5" w:rsidRPr="005F4AF8" w:rsidRDefault="007249F5" w:rsidP="00860AD4">
            <w:pPr>
              <w:jc w:val="both"/>
            </w:pPr>
            <w:r w:rsidRPr="005F4AF8">
              <w:t>15%</w:t>
            </w:r>
          </w:p>
        </w:tc>
      </w:tr>
      <w:tr w:rsidR="007249F5" w:rsidRPr="005F4AF8" w:rsidTr="00860AD4">
        <w:trPr>
          <w:trHeight w:val="813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Готовність учнів п</w:t>
            </w:r>
            <w:r w:rsidRPr="005F4AF8">
              <w:t>о</w:t>
            </w:r>
            <w:r w:rsidRPr="005F4AF8">
              <w:t>чаткової школи до переходу у середню.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Учні 4-х класів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1090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262</w:t>
            </w:r>
          </w:p>
          <w:p w:rsidR="007249F5" w:rsidRPr="005F4AF8" w:rsidRDefault="007249F5" w:rsidP="00860AD4">
            <w:pPr>
              <w:jc w:val="both"/>
            </w:pPr>
            <w:r w:rsidRPr="005F4AF8">
              <w:t>24%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616</w:t>
            </w:r>
          </w:p>
          <w:p w:rsidR="007249F5" w:rsidRPr="005F4AF8" w:rsidRDefault="007249F5" w:rsidP="00860AD4">
            <w:pPr>
              <w:jc w:val="both"/>
            </w:pPr>
            <w:r w:rsidRPr="005F4AF8">
              <w:t>56,5%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212</w:t>
            </w:r>
          </w:p>
          <w:p w:rsidR="007249F5" w:rsidRPr="005F4AF8" w:rsidRDefault="007249F5" w:rsidP="00860AD4">
            <w:pPr>
              <w:jc w:val="both"/>
            </w:pPr>
            <w:r w:rsidRPr="005F4AF8">
              <w:t>19,5%</w:t>
            </w:r>
          </w:p>
        </w:tc>
      </w:tr>
      <w:tr w:rsidR="007249F5" w:rsidRPr="005F4AF8" w:rsidTr="00860AD4">
        <w:trPr>
          <w:trHeight w:val="1566"/>
        </w:trPr>
        <w:tc>
          <w:tcPr>
            <w:tcW w:w="2410" w:type="dxa"/>
            <w:vMerge w:val="restart"/>
            <w:tcBorders>
              <w:lef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Профорієнтація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 xml:space="preserve">Учні: </w:t>
            </w:r>
          </w:p>
          <w:p w:rsidR="007249F5" w:rsidRPr="005F4AF8" w:rsidRDefault="007249F5" w:rsidP="00860AD4">
            <w:pPr>
              <w:jc w:val="both"/>
            </w:pPr>
            <w:r w:rsidRPr="005F4AF8">
              <w:t xml:space="preserve">7 </w:t>
            </w:r>
          </w:p>
          <w:p w:rsidR="007249F5" w:rsidRPr="005F4AF8" w:rsidRDefault="007249F5" w:rsidP="00860AD4">
            <w:pPr>
              <w:jc w:val="both"/>
            </w:pPr>
            <w:r w:rsidRPr="005F4AF8">
              <w:t>9</w:t>
            </w:r>
          </w:p>
          <w:p w:rsidR="007249F5" w:rsidRPr="005F4AF8" w:rsidRDefault="007249F5" w:rsidP="00860AD4">
            <w:pPr>
              <w:jc w:val="both"/>
            </w:pPr>
            <w:r w:rsidRPr="005F4AF8">
              <w:t>10</w:t>
            </w:r>
          </w:p>
          <w:p w:rsidR="007249F5" w:rsidRPr="005F4AF8" w:rsidRDefault="007249F5" w:rsidP="00860AD4">
            <w:pPr>
              <w:jc w:val="both"/>
            </w:pPr>
            <w:r w:rsidRPr="005F4AF8">
              <w:t>11-х класів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</w:p>
          <w:p w:rsidR="007249F5" w:rsidRPr="005F4AF8" w:rsidRDefault="007249F5" w:rsidP="00860AD4">
            <w:pPr>
              <w:jc w:val="both"/>
            </w:pPr>
            <w:r w:rsidRPr="005F4AF8">
              <w:t>50</w:t>
            </w:r>
          </w:p>
          <w:p w:rsidR="007249F5" w:rsidRPr="005F4AF8" w:rsidRDefault="007249F5" w:rsidP="00860AD4">
            <w:pPr>
              <w:jc w:val="both"/>
            </w:pPr>
            <w:r w:rsidRPr="005F4AF8">
              <w:t>917</w:t>
            </w:r>
          </w:p>
          <w:p w:rsidR="007249F5" w:rsidRPr="005F4AF8" w:rsidRDefault="007249F5" w:rsidP="00860AD4">
            <w:pPr>
              <w:jc w:val="both"/>
            </w:pPr>
            <w:r w:rsidRPr="005F4AF8">
              <w:t>42</w:t>
            </w:r>
          </w:p>
          <w:p w:rsidR="007249F5" w:rsidRPr="005F4AF8" w:rsidRDefault="007249F5" w:rsidP="00860AD4">
            <w:pPr>
              <w:jc w:val="both"/>
            </w:pPr>
            <w:r w:rsidRPr="005F4AF8">
              <w:t>76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</w:tr>
      <w:tr w:rsidR="007249F5" w:rsidRPr="005F4AF8" w:rsidTr="00860AD4">
        <w:trPr>
          <w:trHeight w:val="146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∑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1085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ind w:firstLine="709"/>
              <w:jc w:val="both"/>
            </w:pPr>
          </w:p>
        </w:tc>
      </w:tr>
      <w:tr w:rsidR="007249F5" w:rsidRPr="005F4AF8" w:rsidTr="00860AD4">
        <w:trPr>
          <w:trHeight w:val="667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Виявлення соціально обдарованих учнів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Учні 10-х класів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636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19</w:t>
            </w:r>
          </w:p>
          <w:p w:rsidR="007249F5" w:rsidRPr="005F4AF8" w:rsidRDefault="007249F5" w:rsidP="00860AD4">
            <w:pPr>
              <w:jc w:val="both"/>
              <w:rPr>
                <w:lang w:val="en-US"/>
              </w:rPr>
            </w:pPr>
            <w:r w:rsidRPr="005F4AF8">
              <w:t>3</w:t>
            </w:r>
            <w:r w:rsidRPr="005F4AF8">
              <w:rPr>
                <w:lang w:val="en-US"/>
              </w:rPr>
              <w:t>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  <w:rPr>
                <w:lang w:val="en-US"/>
              </w:rPr>
            </w:pPr>
            <w:r w:rsidRPr="005F4AF8">
              <w:t>606</w:t>
            </w:r>
          </w:p>
          <w:p w:rsidR="007249F5" w:rsidRPr="005F4AF8" w:rsidRDefault="007249F5" w:rsidP="00860AD4">
            <w:pPr>
              <w:jc w:val="both"/>
              <w:rPr>
                <w:color w:val="C00000"/>
              </w:rPr>
            </w:pPr>
            <w:r w:rsidRPr="005F4AF8">
              <w:t>95%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jc w:val="both"/>
              <w:rPr>
                <w:lang w:val="en-US"/>
              </w:rPr>
            </w:pPr>
            <w:r w:rsidRPr="005F4AF8">
              <w:t>1</w:t>
            </w:r>
            <w:r w:rsidRPr="005F4AF8">
              <w:rPr>
                <w:lang w:val="en-US"/>
              </w:rPr>
              <w:t>1</w:t>
            </w:r>
          </w:p>
          <w:p w:rsidR="007249F5" w:rsidRPr="005F4AF8" w:rsidRDefault="007249F5" w:rsidP="00860AD4">
            <w:pPr>
              <w:jc w:val="both"/>
              <w:rPr>
                <w:color w:val="C00000"/>
              </w:rPr>
            </w:pPr>
            <w:r w:rsidRPr="005F4AF8">
              <w:t>2%</w:t>
            </w:r>
          </w:p>
        </w:tc>
      </w:tr>
      <w:tr w:rsidR="007249F5" w:rsidRPr="005F4AF8" w:rsidTr="00860AD4">
        <w:trPr>
          <w:trHeight w:val="970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Адаптація учнів 10-х класів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Учні 10-х класів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443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123</w:t>
            </w:r>
          </w:p>
          <w:p w:rsidR="007249F5" w:rsidRPr="005F4AF8" w:rsidRDefault="007249F5" w:rsidP="00860AD4">
            <w:pPr>
              <w:jc w:val="both"/>
            </w:pPr>
            <w:r w:rsidRPr="005F4AF8">
              <w:t>28%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308</w:t>
            </w:r>
          </w:p>
          <w:p w:rsidR="007249F5" w:rsidRPr="005F4AF8" w:rsidRDefault="007249F5" w:rsidP="00860AD4">
            <w:pPr>
              <w:jc w:val="both"/>
            </w:pPr>
            <w:r w:rsidRPr="005F4AF8">
              <w:t>69,5%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9F5" w:rsidRPr="005F4AF8" w:rsidRDefault="007249F5" w:rsidP="00860AD4">
            <w:pPr>
              <w:jc w:val="both"/>
            </w:pPr>
            <w:r w:rsidRPr="005F4AF8">
              <w:t>12</w:t>
            </w:r>
          </w:p>
          <w:p w:rsidR="007249F5" w:rsidRPr="005F4AF8" w:rsidRDefault="007249F5" w:rsidP="00860AD4">
            <w:pPr>
              <w:jc w:val="both"/>
            </w:pPr>
            <w:r w:rsidRPr="005F4AF8">
              <w:t>2,5%</w:t>
            </w:r>
          </w:p>
        </w:tc>
      </w:tr>
    </w:tbl>
    <w:p w:rsidR="007249F5" w:rsidRPr="005F4AF8" w:rsidRDefault="007249F5" w:rsidP="007249F5">
      <w:pPr>
        <w:ind w:firstLine="567"/>
        <w:jc w:val="both"/>
      </w:pPr>
      <w:r w:rsidRPr="005F4AF8">
        <w:t xml:space="preserve">Результати </w:t>
      </w:r>
      <w:proofErr w:type="spellStart"/>
      <w:r w:rsidRPr="005F4AF8">
        <w:t>психодіагностичної</w:t>
      </w:r>
      <w:proofErr w:type="spellEnd"/>
      <w:r w:rsidRPr="005F4AF8">
        <w:t xml:space="preserve"> роботи є першим етапом  подальшої </w:t>
      </w:r>
      <w:proofErr w:type="spellStart"/>
      <w:r w:rsidRPr="005F4AF8">
        <w:t>корекційно-розвивальної</w:t>
      </w:r>
      <w:proofErr w:type="spellEnd"/>
      <w:r w:rsidRPr="005F4AF8">
        <w:t>, просвітницько-пропагандистської, консультативної роботи практичних псих</w:t>
      </w:r>
      <w:r w:rsidRPr="005F4AF8">
        <w:t>о</w:t>
      </w:r>
      <w:r w:rsidRPr="005F4AF8">
        <w:t xml:space="preserve">логів та соціальних педагогів. </w:t>
      </w:r>
    </w:p>
    <w:p w:rsidR="007249F5" w:rsidRPr="005F4AF8" w:rsidRDefault="007249F5" w:rsidP="007249F5">
      <w:pPr>
        <w:ind w:firstLine="567"/>
        <w:jc w:val="center"/>
      </w:pPr>
      <w:r w:rsidRPr="005F4AF8">
        <w:rPr>
          <w:lang w:val="ru-RU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250.5pt" o:ole="">
            <v:imagedata r:id="rId12" o:title=""/>
          </v:shape>
          <o:OLEObject Type="Embed" ProgID="PowerPoint.Slide.12" ShapeID="_x0000_i1025" DrawAspect="Content" ObjectID="_1535977210" r:id="rId13"/>
        </w:object>
      </w:r>
    </w:p>
    <w:p w:rsidR="007249F5" w:rsidRPr="005F4AF8" w:rsidRDefault="007249F5" w:rsidP="007249F5">
      <w:pPr>
        <w:pStyle w:val="2"/>
        <w:spacing w:after="0" w:line="240" w:lineRule="auto"/>
        <w:ind w:left="0" w:firstLine="567"/>
        <w:jc w:val="both"/>
      </w:pPr>
      <w:r w:rsidRPr="005F4AF8">
        <w:t>Аналіз консультативної діяльності працівників психологічної служби свідчить про  те, що найбільша кількість звернень надходить до практичних психологів загальноосвітніх  н</w:t>
      </w:r>
      <w:r w:rsidRPr="005F4AF8">
        <w:t>а</w:t>
      </w:r>
      <w:r w:rsidRPr="005F4AF8">
        <w:t xml:space="preserve">вчальних закладів від учнів, які мають проблеми у стосунках з однолітками та зіткнулися з труднощами  вибору подальшого профілю навчання, професії тощо. </w:t>
      </w:r>
    </w:p>
    <w:p w:rsidR="007249F5" w:rsidRPr="005F4AF8" w:rsidRDefault="007249F5" w:rsidP="007249F5">
      <w:pPr>
        <w:pStyle w:val="2"/>
        <w:spacing w:after="0" w:line="240" w:lineRule="auto"/>
        <w:ind w:left="0" w:firstLine="567"/>
        <w:jc w:val="both"/>
      </w:pPr>
      <w:r w:rsidRPr="005F4AF8">
        <w:t>Найчастіше до психологів звертаються батьки, які відчувають некомпетентність у в</w:t>
      </w:r>
      <w:r w:rsidRPr="005F4AF8">
        <w:t>и</w:t>
      </w:r>
      <w:r w:rsidRPr="005F4AF8">
        <w:t>хованні, що вказує на недостатність психологічних знань та вмінь для здійснення індивіду</w:t>
      </w:r>
      <w:r w:rsidRPr="005F4AF8">
        <w:t>а</w:t>
      </w:r>
      <w:r w:rsidRPr="005F4AF8">
        <w:t>льного підходу до дитини, низький рівень психологічної культури тощо. Більшою мірою б</w:t>
      </w:r>
      <w:r w:rsidRPr="005F4AF8">
        <w:t>а</w:t>
      </w:r>
      <w:r w:rsidRPr="005F4AF8">
        <w:t xml:space="preserve">тьки занепокоєні проблемами у навчанні, інтелектуальним розвитком, труднощами адаптації дітей до умов навчального закладу   ніж емоційним благополуччям  дитини. Підвищення психологічної культури батьків залишається пріоритетним напрямом роботи практичних психологів, особливо дошкільних навчальних закладів. </w:t>
      </w:r>
    </w:p>
    <w:p w:rsidR="007249F5" w:rsidRPr="005F4AF8" w:rsidRDefault="007249F5" w:rsidP="007249F5">
      <w:pPr>
        <w:pStyle w:val="2"/>
        <w:spacing w:after="0" w:line="240" w:lineRule="auto"/>
        <w:ind w:left="0" w:firstLine="567"/>
        <w:jc w:val="both"/>
      </w:pPr>
      <w:r w:rsidRPr="005F4AF8">
        <w:t>Педагоги дошкільних та загальноосвітніх навчальних закладів звертаються за порадою до  психологів  у разі виникнення проблем у вихованні дитини на різних етапах її розвитку. Актуальною залишається проблема агресивної, жорстокої  поведінки учнів молодшого шк</w:t>
      </w:r>
      <w:r w:rsidRPr="005F4AF8">
        <w:t>і</w:t>
      </w:r>
      <w:r w:rsidRPr="005F4AF8">
        <w:t xml:space="preserve">льного та підліткового віку, що свідчить про необхідність координації зусиль всіх учасників навчально-виховного процесу щодо створення безпечного освітнього середовища.  </w:t>
      </w:r>
    </w:p>
    <w:p w:rsidR="007249F5" w:rsidRPr="005F4AF8" w:rsidRDefault="007249F5" w:rsidP="007249F5">
      <w:pPr>
        <w:jc w:val="both"/>
      </w:pPr>
      <w:r w:rsidRPr="005F4AF8">
        <w:t xml:space="preserve">        Необхідною умовою підвищення психологічної культури підростаючого покоління є вв</w:t>
      </w:r>
      <w:r w:rsidRPr="005F4AF8">
        <w:t>е</w:t>
      </w:r>
      <w:r w:rsidRPr="005F4AF8">
        <w:t>дення факультативних курсів з психології, психологічних гуртків для учнів.  Відкрито психологічні гуртки  в ХЗОШ №№70, 71,  113, 118, ХСШ №№ 75, 80, 119, 121, 155. Факул</w:t>
      </w:r>
      <w:r w:rsidRPr="005F4AF8">
        <w:t>ь</w:t>
      </w:r>
      <w:r w:rsidRPr="005F4AF8">
        <w:t>тативні курси впроваджуються в ХЗОШ №40, ХСШ №80. У ХЗОШ №26 в 11 класі виклад</w:t>
      </w:r>
      <w:r w:rsidRPr="005F4AF8">
        <w:t>а</w:t>
      </w:r>
      <w:r w:rsidRPr="005F4AF8">
        <w:t xml:space="preserve">ється  предмет «Психологія». </w:t>
      </w:r>
    </w:p>
    <w:p w:rsidR="007249F5" w:rsidRPr="005F4AF8" w:rsidRDefault="007249F5" w:rsidP="007249F5">
      <w:pPr>
        <w:shd w:val="clear" w:color="auto" w:fill="FFFFFF"/>
        <w:jc w:val="both"/>
        <w:rPr>
          <w:color w:val="000000"/>
          <w:lang w:eastAsia="uk-UA"/>
        </w:rPr>
      </w:pPr>
      <w:r w:rsidRPr="005F4AF8">
        <w:t xml:space="preserve">       З метою сприяння введенню в навчальних закладах курсів із психології у березні 2016 року вивчено стан викладання, виконання навчального плану та програми предмета «Псих</w:t>
      </w:r>
      <w:r w:rsidRPr="005F4AF8">
        <w:t>о</w:t>
      </w:r>
      <w:r w:rsidRPr="005F4AF8">
        <w:t xml:space="preserve">логія» в ХЗОШ №26 та факультативного курсу «Психологія особистості» в ХСШ №80. Отримана інформація дозволила </w:t>
      </w:r>
      <w:r w:rsidRPr="005F4AF8">
        <w:rPr>
          <w:color w:val="000000"/>
          <w:lang w:eastAsia="uk-UA"/>
        </w:rPr>
        <w:t>проаналізувати  стан матеріально-технічного та навчально-методичного забезпечення,    надати методичну  допомогу  психологам-педагогам та адмін</w:t>
      </w:r>
      <w:r w:rsidRPr="005F4AF8">
        <w:rPr>
          <w:color w:val="000000"/>
          <w:lang w:eastAsia="uk-UA"/>
        </w:rPr>
        <w:t>і</w:t>
      </w:r>
      <w:r w:rsidRPr="005F4AF8">
        <w:rPr>
          <w:color w:val="000000"/>
          <w:lang w:eastAsia="uk-UA"/>
        </w:rPr>
        <w:t xml:space="preserve">страції шкіл щодо викладання  програм психологічного спрямування. </w:t>
      </w:r>
    </w:p>
    <w:p w:rsidR="007249F5" w:rsidRPr="005F4AF8" w:rsidRDefault="007249F5" w:rsidP="007249F5">
      <w:pPr>
        <w:shd w:val="clear" w:color="auto" w:fill="FFFFFF"/>
        <w:ind w:firstLine="600"/>
        <w:jc w:val="both"/>
        <w:rPr>
          <w:rFonts w:eastAsia="Calibri"/>
          <w:lang w:eastAsia="en-US"/>
        </w:rPr>
      </w:pPr>
      <w:r w:rsidRPr="005F4AF8">
        <w:rPr>
          <w:color w:val="000000"/>
          <w:lang w:eastAsia="uk-UA"/>
        </w:rPr>
        <w:t xml:space="preserve"> </w:t>
      </w:r>
      <w:r w:rsidRPr="005F4AF8">
        <w:rPr>
          <w:rFonts w:eastAsia="Calibri"/>
          <w:lang w:eastAsia="en-US"/>
        </w:rPr>
        <w:t>Працівники психологічної служби у питаннях превентивних заходів щодо соціально небезпечних ігор, фізичного насилля та агресивної поведінки знаходять  нові підходи до вз</w:t>
      </w:r>
      <w:r w:rsidRPr="005F4AF8">
        <w:rPr>
          <w:rFonts w:eastAsia="Calibri"/>
          <w:lang w:eastAsia="en-US"/>
        </w:rPr>
        <w:t>а</w:t>
      </w:r>
      <w:r w:rsidRPr="005F4AF8">
        <w:rPr>
          <w:rFonts w:eastAsia="Calibri"/>
          <w:lang w:eastAsia="en-US"/>
        </w:rPr>
        <w:t>ємодії з учнями та їхніми батьками. Системна робота по створенню безпечного освітнього середовища проводиться в  ХСШ № 119 шляхом запровадження освітньої програми «Шкіл</w:t>
      </w:r>
      <w:r w:rsidRPr="005F4AF8">
        <w:rPr>
          <w:rFonts w:eastAsia="Calibri"/>
          <w:lang w:eastAsia="en-US"/>
        </w:rPr>
        <w:t>ь</w:t>
      </w:r>
      <w:r w:rsidRPr="005F4AF8">
        <w:rPr>
          <w:rFonts w:eastAsia="Calibri"/>
          <w:lang w:eastAsia="en-US"/>
        </w:rPr>
        <w:t xml:space="preserve">на медіація», яка спрямована  на розвиток у школярів навичок </w:t>
      </w:r>
      <w:r w:rsidRPr="005F4AF8">
        <w:rPr>
          <w:rFonts w:eastAsia="Calibri"/>
          <w:lang w:eastAsia="en-US"/>
        </w:rPr>
        <w:lastRenderedPageBreak/>
        <w:t>вирішення конфліктів ненас</w:t>
      </w:r>
      <w:r w:rsidRPr="005F4AF8">
        <w:rPr>
          <w:rFonts w:eastAsia="Calibri"/>
          <w:lang w:eastAsia="en-US"/>
        </w:rPr>
        <w:t>и</w:t>
      </w:r>
      <w:r w:rsidRPr="005F4AF8">
        <w:rPr>
          <w:rFonts w:eastAsia="Calibri"/>
          <w:lang w:eastAsia="en-US"/>
        </w:rPr>
        <w:t>льницьким шляхом. У ХСШ № 119 чотири  роки поспіль  працює  Центр перемирення, в якому в якості посередників між учасниками конфлікту виступають підготовлені практи</w:t>
      </w:r>
      <w:r w:rsidRPr="005F4AF8">
        <w:rPr>
          <w:rFonts w:eastAsia="Calibri"/>
          <w:lang w:eastAsia="en-US"/>
        </w:rPr>
        <w:t>ч</w:t>
      </w:r>
      <w:r w:rsidRPr="005F4AF8">
        <w:rPr>
          <w:rFonts w:eastAsia="Calibri"/>
          <w:lang w:eastAsia="en-US"/>
        </w:rPr>
        <w:t>ним психологом учні-медіатори. У  червні 2016 року вони брали участь в обласному фест</w:t>
      </w:r>
      <w:r w:rsidRPr="005F4AF8">
        <w:rPr>
          <w:rFonts w:eastAsia="Calibri"/>
          <w:lang w:eastAsia="en-US"/>
        </w:rPr>
        <w:t>и</w:t>
      </w:r>
      <w:r w:rsidRPr="005F4AF8">
        <w:rPr>
          <w:rFonts w:eastAsia="Calibri"/>
          <w:lang w:eastAsia="en-US"/>
        </w:rPr>
        <w:t xml:space="preserve">валі «Світ медіацій», де отримали позитивний досвід спілкування з однодумцями, керівники проекту ознайомилися з </w:t>
      </w:r>
      <w:proofErr w:type="spellStart"/>
      <w:r w:rsidRPr="005F4AF8">
        <w:rPr>
          <w:rFonts w:eastAsia="Calibri"/>
          <w:lang w:eastAsia="en-US"/>
        </w:rPr>
        <w:t>наробками</w:t>
      </w:r>
      <w:proofErr w:type="spellEnd"/>
      <w:r w:rsidRPr="005F4AF8">
        <w:rPr>
          <w:rFonts w:eastAsia="Calibri"/>
          <w:lang w:eastAsia="en-US"/>
        </w:rPr>
        <w:t xml:space="preserve"> інших закладів.</w:t>
      </w:r>
    </w:p>
    <w:p w:rsidR="007249F5" w:rsidRPr="005F4AF8" w:rsidRDefault="007249F5" w:rsidP="007249F5">
      <w:pPr>
        <w:ind w:firstLine="567"/>
        <w:jc w:val="both"/>
        <w:rPr>
          <w:rFonts w:eastAsia="Calibri"/>
          <w:lang w:eastAsia="en-US"/>
        </w:rPr>
      </w:pPr>
      <w:r w:rsidRPr="005F4AF8">
        <w:rPr>
          <w:rFonts w:eastAsia="Calibri"/>
          <w:lang w:eastAsia="en-US"/>
        </w:rPr>
        <w:t>Запровадження “годин  психолога” та проведення психологами факультативних курсів сприяє розв’язанню ряду соціально-педагогічних проблем в учнівських колективах, створе</w:t>
      </w:r>
      <w:r w:rsidRPr="005F4AF8">
        <w:rPr>
          <w:rFonts w:eastAsia="Calibri"/>
          <w:lang w:eastAsia="en-US"/>
        </w:rPr>
        <w:t>н</w:t>
      </w:r>
      <w:r w:rsidRPr="005F4AF8">
        <w:rPr>
          <w:rFonts w:eastAsia="Calibri"/>
          <w:lang w:eastAsia="en-US"/>
        </w:rPr>
        <w:t>ню безпечного освітнього середовища тощо.</w:t>
      </w:r>
    </w:p>
    <w:p w:rsidR="007249F5" w:rsidRPr="005F4AF8" w:rsidRDefault="007249F5" w:rsidP="007249F5">
      <w:pPr>
        <w:spacing w:after="120"/>
        <w:ind w:firstLine="567"/>
        <w:jc w:val="both"/>
      </w:pPr>
      <w:r w:rsidRPr="005F4AF8">
        <w:t>Згідно зі статистичною звітністю навчальних закладів за минулий навчальний рік пра</w:t>
      </w:r>
      <w:r w:rsidRPr="005F4AF8">
        <w:t>к</w:t>
      </w:r>
      <w:r w:rsidRPr="005F4AF8">
        <w:t>тичні психологи виконали такий обсяг робіт:</w:t>
      </w:r>
    </w:p>
    <w:p w:rsidR="007249F5" w:rsidRPr="005F4AF8" w:rsidRDefault="007249F5" w:rsidP="007249F5">
      <w:pPr>
        <w:spacing w:after="120"/>
        <w:jc w:val="both"/>
        <w:rPr>
          <w:color w:val="FF0000"/>
        </w:rPr>
      </w:pPr>
      <w:r w:rsidRPr="005F4AF8">
        <w:rPr>
          <w:b/>
          <w:i/>
        </w:rPr>
        <w:t>З дітьми</w:t>
      </w:r>
      <w:r w:rsidRPr="005F4AF8">
        <w:rPr>
          <w:b/>
        </w:rPr>
        <w:t>:</w:t>
      </w:r>
      <w:r w:rsidRPr="005F4AF8">
        <w:t xml:space="preserve"> індивідуальне консультування –  466 учнів, індивідуальна </w:t>
      </w:r>
      <w:proofErr w:type="spellStart"/>
      <w:r w:rsidRPr="005F4AF8">
        <w:t>діагностика-</w:t>
      </w:r>
      <w:proofErr w:type="spellEnd"/>
      <w:r w:rsidRPr="005F4AF8">
        <w:t xml:space="preserve">  2836 д</w:t>
      </w:r>
      <w:r w:rsidRPr="005F4AF8">
        <w:t>і</w:t>
      </w:r>
      <w:r w:rsidRPr="005F4AF8">
        <w:t xml:space="preserve">тей, індивідуальна </w:t>
      </w:r>
      <w:proofErr w:type="spellStart"/>
      <w:r w:rsidRPr="005F4AF8">
        <w:t>корекційно-розвивальна</w:t>
      </w:r>
      <w:proofErr w:type="spellEnd"/>
      <w:r w:rsidRPr="005F4AF8">
        <w:t xml:space="preserve">  робота –   407 осіб, групова діагностика –   8195 осіб, групова </w:t>
      </w:r>
      <w:proofErr w:type="spellStart"/>
      <w:r w:rsidRPr="005F4AF8">
        <w:t>корекційно-відновлювальна</w:t>
      </w:r>
      <w:proofErr w:type="spellEnd"/>
      <w:r w:rsidRPr="005F4AF8">
        <w:t xml:space="preserve"> робота –   1148 осіб, просвітницька діяльність – 4777 осіб, навчальна діяльність – 327 осіб.</w:t>
      </w:r>
    </w:p>
    <w:p w:rsidR="007249F5" w:rsidRPr="005F4AF8" w:rsidRDefault="007249F5" w:rsidP="007249F5">
      <w:pPr>
        <w:spacing w:after="120"/>
        <w:jc w:val="both"/>
      </w:pPr>
      <w:r w:rsidRPr="005F4AF8">
        <w:rPr>
          <w:b/>
          <w:i/>
        </w:rPr>
        <w:t xml:space="preserve">З батьками: </w:t>
      </w:r>
      <w:r w:rsidRPr="005F4AF8">
        <w:t>індивідуальне консультування – 608 осіб, групове консультування – 414 осіб, проведення ділових ігор і тренінгів – 190 осіб, психологічна просвіта – 4299 осіб.</w:t>
      </w:r>
    </w:p>
    <w:p w:rsidR="007249F5" w:rsidRPr="005F4AF8" w:rsidRDefault="007249F5" w:rsidP="007249F5">
      <w:pPr>
        <w:spacing w:after="120"/>
        <w:jc w:val="both"/>
      </w:pPr>
      <w:r w:rsidRPr="005F4AF8">
        <w:rPr>
          <w:b/>
          <w:i/>
        </w:rPr>
        <w:t>З педагогами:</w:t>
      </w:r>
      <w:r w:rsidRPr="005F4AF8">
        <w:t xml:space="preserve"> індивідуальне консультування – 453 особи, проведення ділових ігор і трені</w:t>
      </w:r>
      <w:r w:rsidRPr="005F4AF8">
        <w:t>н</w:t>
      </w:r>
      <w:r w:rsidRPr="005F4AF8">
        <w:t>гів – 307 осіб, психологічна просвіта – 698 осіб.</w:t>
      </w:r>
    </w:p>
    <w:p w:rsidR="007249F5" w:rsidRPr="005F4AF8" w:rsidRDefault="007249F5" w:rsidP="007249F5">
      <w:pPr>
        <w:spacing w:after="120"/>
        <w:jc w:val="both"/>
        <w:rPr>
          <w:b/>
        </w:rPr>
      </w:pPr>
      <w:r w:rsidRPr="005F4AF8">
        <w:rPr>
          <w:b/>
        </w:rPr>
        <w:t>Соціальні педагоги своїми видами роботи охопили:</w:t>
      </w:r>
    </w:p>
    <w:p w:rsidR="007249F5" w:rsidRPr="005F4AF8" w:rsidRDefault="007249F5" w:rsidP="007249F5">
      <w:pPr>
        <w:spacing w:after="120"/>
        <w:jc w:val="both"/>
      </w:pPr>
      <w:r w:rsidRPr="005F4AF8">
        <w:rPr>
          <w:b/>
          <w:i/>
        </w:rPr>
        <w:t>дітей</w:t>
      </w:r>
      <w:r w:rsidRPr="005F4AF8">
        <w:t>: індивідуальне консультування 328–осіб, групове консультування – 236 осіб, відвід</w:t>
      </w:r>
      <w:r w:rsidRPr="005F4AF8">
        <w:t>у</w:t>
      </w:r>
      <w:r w:rsidRPr="005F4AF8">
        <w:t>вання вдома – 403 особи, групова розвивальна робота з дітьми – 4698 осіб, просвіта – 6020 осіб, групові соціально-педагогічні дослідження – 3426 осіб;</w:t>
      </w:r>
    </w:p>
    <w:p w:rsidR="007249F5" w:rsidRPr="005F4AF8" w:rsidRDefault="007249F5" w:rsidP="007249F5">
      <w:pPr>
        <w:spacing w:after="120"/>
        <w:jc w:val="both"/>
        <w:rPr>
          <w:color w:val="FF0000"/>
        </w:rPr>
      </w:pPr>
      <w:r w:rsidRPr="005F4AF8">
        <w:rPr>
          <w:b/>
          <w:i/>
        </w:rPr>
        <w:t>батьків:</w:t>
      </w:r>
      <w:r w:rsidRPr="005F4AF8">
        <w:t xml:space="preserve"> індивідуальне консультування – 167 осіб, групове консультування –182 особи, гр</w:t>
      </w:r>
      <w:r w:rsidRPr="005F4AF8">
        <w:t>у</w:t>
      </w:r>
      <w:r w:rsidRPr="005F4AF8">
        <w:t>пові соціально-педагогічні дослідження –130 осіб, просвіта – 1137 осіб;</w:t>
      </w:r>
    </w:p>
    <w:p w:rsidR="007249F5" w:rsidRPr="005F4AF8" w:rsidRDefault="007249F5" w:rsidP="007249F5">
      <w:pPr>
        <w:spacing w:after="120"/>
        <w:jc w:val="both"/>
      </w:pPr>
      <w:r w:rsidRPr="005F4AF8">
        <w:rPr>
          <w:b/>
          <w:i/>
        </w:rPr>
        <w:t>педагогів:</w:t>
      </w:r>
      <w:r w:rsidRPr="005F4AF8">
        <w:t xml:space="preserve"> індивідуальне консультування – 139 осіб, групове консультування – 232 особи, просвіта – 314 осіб.</w:t>
      </w:r>
    </w:p>
    <w:p w:rsidR="007249F5" w:rsidRPr="005F4AF8" w:rsidRDefault="007249F5" w:rsidP="007249F5">
      <w:pPr>
        <w:ind w:firstLine="567"/>
        <w:jc w:val="both"/>
        <w:rPr>
          <w:iCs/>
        </w:rPr>
      </w:pPr>
      <w:r w:rsidRPr="005F4AF8">
        <w:rPr>
          <w:iCs/>
        </w:rPr>
        <w:t xml:space="preserve">У 2016 році погоджено в Центрі практичної психології, соціальної роботи та здорового способу життя КВНЗ «ХАНО»: </w:t>
      </w:r>
    </w:p>
    <w:p w:rsidR="007249F5" w:rsidRPr="005F4AF8" w:rsidRDefault="007249F5" w:rsidP="007249F5">
      <w:pPr>
        <w:jc w:val="both"/>
      </w:pPr>
      <w:r w:rsidRPr="005F4AF8">
        <w:rPr>
          <w:iCs/>
        </w:rPr>
        <w:t xml:space="preserve">- </w:t>
      </w:r>
      <w:r w:rsidRPr="005F4AF8">
        <w:t>діагностичні програми вивчення готовності дітей до навчання у 1 класі спеціалізованих шкіл з поглибленим вивченням іноземної мови;</w:t>
      </w:r>
    </w:p>
    <w:p w:rsidR="007249F5" w:rsidRPr="005F4AF8" w:rsidRDefault="007249F5" w:rsidP="007249F5">
      <w:pPr>
        <w:jc w:val="both"/>
      </w:pPr>
      <w:r w:rsidRPr="005F4AF8">
        <w:t xml:space="preserve">-  </w:t>
      </w:r>
      <w:proofErr w:type="spellStart"/>
      <w:r w:rsidRPr="005F4AF8">
        <w:t>корекційно-розвивальна</w:t>
      </w:r>
      <w:proofErr w:type="spellEnd"/>
      <w:r w:rsidRPr="005F4AF8">
        <w:t xml:space="preserve"> програма «Допоможемо малятам полюбити дитсадок»</w:t>
      </w:r>
    </w:p>
    <w:p w:rsidR="007249F5" w:rsidRPr="005F4AF8" w:rsidRDefault="007249F5" w:rsidP="007249F5">
      <w:pPr>
        <w:jc w:val="both"/>
      </w:pPr>
      <w:r w:rsidRPr="005F4AF8">
        <w:t xml:space="preserve">з полегшення   адаптації   дітей раннього віку. Автор-укладач </w:t>
      </w:r>
      <w:proofErr w:type="spellStart"/>
      <w:r w:rsidRPr="005F4AF8">
        <w:t>Шаталова</w:t>
      </w:r>
      <w:proofErr w:type="spellEnd"/>
      <w:r w:rsidRPr="005F4AF8">
        <w:t xml:space="preserve"> О.В., практичний психолог ДНЗ №378.</w:t>
      </w:r>
    </w:p>
    <w:p w:rsidR="007249F5" w:rsidRPr="005F4AF8" w:rsidRDefault="007249F5" w:rsidP="007249F5">
      <w:pPr>
        <w:ind w:firstLine="567"/>
        <w:jc w:val="both"/>
      </w:pPr>
      <w:r w:rsidRPr="005F4AF8">
        <w:t>Здійснено соціально-психологічну експертизу умов і результатів діяльності працівн</w:t>
      </w:r>
      <w:r w:rsidRPr="005F4AF8">
        <w:t>и</w:t>
      </w:r>
      <w:r w:rsidRPr="005F4AF8">
        <w:t>ків психологічної служби ДНЗ № № 193, 268;  ХЗОШ № №40, 168. За результатами надано рекомендації щодо усунення недоліків.</w:t>
      </w:r>
    </w:p>
    <w:p w:rsidR="007249F5" w:rsidRPr="005F4AF8" w:rsidRDefault="007249F5" w:rsidP="007249F5">
      <w:pPr>
        <w:ind w:firstLine="567"/>
        <w:jc w:val="both"/>
      </w:pPr>
      <w:r w:rsidRPr="005F4AF8">
        <w:t>У 2016 році соціальний педагог ХЗОШ №70 брала  участь в обласному фестивалі-огляді освітніх Інтернет - ресурсів, отримала диплом   ІІІ ступеня.</w:t>
      </w:r>
    </w:p>
    <w:p w:rsidR="007249F5" w:rsidRPr="005F4AF8" w:rsidRDefault="007249F5" w:rsidP="007249F5">
      <w:pPr>
        <w:ind w:firstLine="567"/>
        <w:jc w:val="both"/>
      </w:pPr>
      <w:r w:rsidRPr="005F4AF8">
        <w:t>Практичний психолог ДНЗ №272  проводила майстер-клас «Розвиток емоційної сфери дитини» на обласному семінарі практичних психологів дошкільних навчальних закладів.</w:t>
      </w:r>
    </w:p>
    <w:p w:rsidR="007249F5" w:rsidRPr="005F4AF8" w:rsidRDefault="007249F5" w:rsidP="007249F5">
      <w:pPr>
        <w:ind w:firstLine="567"/>
        <w:jc w:val="both"/>
      </w:pPr>
      <w:r w:rsidRPr="005F4AF8">
        <w:t>Вищезазначені факти свідчать про зростання професіоналізму фахівців психологічної служби, що сприяє підвищенню якості їх послуг всім учасникам навчально-виховного пр</w:t>
      </w:r>
      <w:r w:rsidRPr="005F4AF8">
        <w:t>о</w:t>
      </w:r>
      <w:r w:rsidRPr="005F4AF8">
        <w:t>цесу.</w:t>
      </w:r>
    </w:p>
    <w:p w:rsidR="007249F5" w:rsidRPr="005F4AF8" w:rsidRDefault="007249F5" w:rsidP="007249F5">
      <w:pPr>
        <w:jc w:val="both"/>
      </w:pPr>
      <w:r w:rsidRPr="005F4AF8">
        <w:t xml:space="preserve">     Аналіз ситуації розвитку і діяльності психологічної служби району дозволяє виокремити наступні проблеми, які постали зараз перед службою:</w:t>
      </w:r>
    </w:p>
    <w:p w:rsidR="007249F5" w:rsidRPr="005F4AF8" w:rsidRDefault="007249F5" w:rsidP="007249F5">
      <w:pPr>
        <w:numPr>
          <w:ilvl w:val="0"/>
          <w:numId w:val="2"/>
        </w:numPr>
        <w:jc w:val="both"/>
      </w:pPr>
      <w:r w:rsidRPr="005F4AF8">
        <w:t>Плинність кадрів серед фахівців психологічної служби.</w:t>
      </w:r>
    </w:p>
    <w:p w:rsidR="007249F5" w:rsidRPr="005F4AF8" w:rsidRDefault="007249F5" w:rsidP="007249F5">
      <w:pPr>
        <w:numPr>
          <w:ilvl w:val="0"/>
          <w:numId w:val="2"/>
        </w:numPr>
        <w:jc w:val="both"/>
      </w:pPr>
      <w:r w:rsidRPr="005F4AF8">
        <w:t>Відсутність соціальних педагогів у загальноосвітніх навчальних закладах (42%).</w:t>
      </w:r>
    </w:p>
    <w:p w:rsidR="007249F5" w:rsidRPr="005F4AF8" w:rsidRDefault="007249F5" w:rsidP="007249F5">
      <w:pPr>
        <w:numPr>
          <w:ilvl w:val="0"/>
          <w:numId w:val="2"/>
        </w:numPr>
        <w:jc w:val="both"/>
      </w:pPr>
      <w:r w:rsidRPr="005F4AF8">
        <w:lastRenderedPageBreak/>
        <w:t>Недостатній рівень професійної майстерності практичних психологів загальноосві</w:t>
      </w:r>
      <w:r w:rsidRPr="005F4AF8">
        <w:t>т</w:t>
      </w:r>
      <w:r w:rsidRPr="005F4AF8">
        <w:t>ніх навчальних закладів (11 працівників (61% від загальної кількості) є молодими спеціалістами).</w:t>
      </w:r>
    </w:p>
    <w:p w:rsidR="007249F5" w:rsidRPr="005F4AF8" w:rsidRDefault="007249F5" w:rsidP="007249F5">
      <w:pPr>
        <w:numPr>
          <w:ilvl w:val="0"/>
          <w:numId w:val="2"/>
        </w:numPr>
        <w:jc w:val="both"/>
      </w:pPr>
      <w:r w:rsidRPr="005F4AF8">
        <w:t>Негативні явища в учнівському середовищі.</w:t>
      </w:r>
    </w:p>
    <w:p w:rsidR="007249F5" w:rsidRPr="005F4AF8" w:rsidRDefault="007249F5" w:rsidP="007249F5">
      <w:pPr>
        <w:numPr>
          <w:ilvl w:val="0"/>
          <w:numId w:val="2"/>
        </w:numPr>
        <w:jc w:val="both"/>
      </w:pPr>
      <w:r w:rsidRPr="005F4AF8">
        <w:t>Випадки насильства в сім</w:t>
      </w:r>
      <w:r w:rsidRPr="005F4AF8">
        <w:rPr>
          <w:lang w:val="en-US"/>
        </w:rPr>
        <w:t>’</w:t>
      </w:r>
      <w:proofErr w:type="spellStart"/>
      <w:r w:rsidRPr="005F4AF8">
        <w:t>ях</w:t>
      </w:r>
      <w:proofErr w:type="spellEnd"/>
      <w:r w:rsidRPr="005F4AF8">
        <w:t>.</w:t>
      </w:r>
    </w:p>
    <w:p w:rsidR="007249F5" w:rsidRPr="005F4AF8" w:rsidRDefault="007249F5" w:rsidP="007249F5">
      <w:pPr>
        <w:jc w:val="both"/>
      </w:pPr>
      <w:r w:rsidRPr="005F4AF8">
        <w:t xml:space="preserve">     Для подальшого розвитку психологічної служби та вирішення проблем необхідно:</w:t>
      </w:r>
    </w:p>
    <w:p w:rsidR="007249F5" w:rsidRPr="005F4AF8" w:rsidRDefault="007249F5" w:rsidP="007249F5">
      <w:pPr>
        <w:numPr>
          <w:ilvl w:val="0"/>
          <w:numId w:val="3"/>
        </w:numPr>
        <w:jc w:val="both"/>
      </w:pPr>
      <w:r w:rsidRPr="005F4AF8">
        <w:t>Здійснювати моніторинг розвитку психологічної служби.</w:t>
      </w:r>
    </w:p>
    <w:p w:rsidR="007249F5" w:rsidRPr="005F4AF8" w:rsidRDefault="007249F5" w:rsidP="007249F5">
      <w:pPr>
        <w:numPr>
          <w:ilvl w:val="0"/>
          <w:numId w:val="3"/>
        </w:numPr>
        <w:jc w:val="both"/>
      </w:pPr>
      <w:r w:rsidRPr="005F4AF8">
        <w:t>Сприяти створенню відповідних умов для ефективної роботи практичних психологів та соціальних педагогів.</w:t>
      </w:r>
    </w:p>
    <w:p w:rsidR="007249F5" w:rsidRPr="005F4AF8" w:rsidRDefault="007249F5" w:rsidP="007249F5">
      <w:pPr>
        <w:numPr>
          <w:ilvl w:val="0"/>
          <w:numId w:val="3"/>
        </w:numPr>
        <w:jc w:val="both"/>
      </w:pPr>
      <w:r w:rsidRPr="005F4AF8">
        <w:t xml:space="preserve">Підвищувати рівень фахової майстерності працівників психологічної служби шляхом організації семінарів-тренінгів, майстер-класів, </w:t>
      </w:r>
      <w:proofErr w:type="spellStart"/>
      <w:r w:rsidRPr="005F4AF8">
        <w:t>інтервізійних</w:t>
      </w:r>
      <w:proofErr w:type="spellEnd"/>
      <w:r w:rsidRPr="005F4AF8">
        <w:t xml:space="preserve"> та </w:t>
      </w:r>
      <w:proofErr w:type="spellStart"/>
      <w:r w:rsidRPr="005F4AF8">
        <w:t>супервізійних</w:t>
      </w:r>
      <w:proofErr w:type="spellEnd"/>
      <w:r w:rsidRPr="005F4AF8">
        <w:t xml:space="preserve"> груп.</w:t>
      </w:r>
    </w:p>
    <w:p w:rsidR="007249F5" w:rsidRPr="005F4AF8" w:rsidRDefault="007249F5" w:rsidP="007249F5">
      <w:pPr>
        <w:numPr>
          <w:ilvl w:val="0"/>
          <w:numId w:val="3"/>
        </w:numPr>
        <w:jc w:val="both"/>
      </w:pPr>
      <w:r w:rsidRPr="005F4AF8">
        <w:t>Ввести  спецкурси, факультативи, гуртки  психологічного   спрямування та «години психолога» в навчально-виховний процес загальноосвітніх навчальних закладів.</w:t>
      </w:r>
    </w:p>
    <w:p w:rsidR="007249F5" w:rsidRPr="005F4AF8" w:rsidRDefault="007249F5" w:rsidP="007249F5">
      <w:pPr>
        <w:numPr>
          <w:ilvl w:val="0"/>
          <w:numId w:val="4"/>
        </w:numPr>
        <w:jc w:val="both"/>
      </w:pPr>
      <w:r w:rsidRPr="005F4AF8">
        <w:t>Продовжити роботу районних шкіл молодого психолога та соціального педагога-початківця.</w:t>
      </w:r>
    </w:p>
    <w:p w:rsidR="007249F5" w:rsidRPr="005F4AF8" w:rsidRDefault="007249F5" w:rsidP="007249F5">
      <w:pPr>
        <w:numPr>
          <w:ilvl w:val="0"/>
          <w:numId w:val="4"/>
        </w:numPr>
        <w:jc w:val="both"/>
      </w:pPr>
      <w:r w:rsidRPr="005F4AF8">
        <w:t>Забезпечувати методичними рекомендаціями практичних психологів і соціальних п</w:t>
      </w:r>
      <w:r w:rsidRPr="005F4AF8">
        <w:t>е</w:t>
      </w:r>
      <w:r w:rsidRPr="005F4AF8">
        <w:t>дагогів з актуальних питань супроводу навчально-виховного процесу.</w:t>
      </w:r>
    </w:p>
    <w:p w:rsidR="007249F5" w:rsidRPr="005F4AF8" w:rsidRDefault="007249F5" w:rsidP="007249F5">
      <w:pPr>
        <w:numPr>
          <w:ilvl w:val="0"/>
          <w:numId w:val="4"/>
        </w:numPr>
        <w:jc w:val="both"/>
      </w:pPr>
      <w:r w:rsidRPr="005F4AF8">
        <w:t xml:space="preserve">Сприяти розробці авторських діагностичних,   </w:t>
      </w:r>
      <w:proofErr w:type="spellStart"/>
      <w:r w:rsidRPr="005F4AF8">
        <w:t>корекційно-розвивальних</w:t>
      </w:r>
      <w:proofErr w:type="spellEnd"/>
      <w:r w:rsidRPr="005F4AF8">
        <w:t xml:space="preserve"> та авторс</w:t>
      </w:r>
      <w:r w:rsidRPr="005F4AF8">
        <w:t>ь</w:t>
      </w:r>
      <w:r w:rsidRPr="005F4AF8">
        <w:t>ких навчальних програм.</w:t>
      </w:r>
    </w:p>
    <w:p w:rsidR="007249F5" w:rsidRPr="005F4AF8" w:rsidRDefault="007249F5" w:rsidP="007249F5">
      <w:pPr>
        <w:pStyle w:val="2"/>
        <w:tabs>
          <w:tab w:val="left" w:pos="6096"/>
        </w:tabs>
        <w:spacing w:after="0" w:line="240" w:lineRule="auto"/>
        <w:rPr>
          <w:bCs/>
        </w:rPr>
      </w:pPr>
      <w:r w:rsidRPr="005F4AF8">
        <w:rPr>
          <w:bCs/>
        </w:rPr>
        <w:t>Перспективою розвитку психологічної служби району є:</w:t>
      </w:r>
    </w:p>
    <w:p w:rsidR="007249F5" w:rsidRPr="005F4AF8" w:rsidRDefault="007249F5" w:rsidP="007249F5">
      <w:pPr>
        <w:pStyle w:val="2"/>
        <w:numPr>
          <w:ilvl w:val="0"/>
          <w:numId w:val="5"/>
        </w:numPr>
        <w:spacing w:after="0" w:line="240" w:lineRule="auto"/>
        <w:ind w:left="0" w:firstLine="567"/>
        <w:rPr>
          <w:bCs/>
        </w:rPr>
      </w:pPr>
      <w:r w:rsidRPr="005F4AF8">
        <w:rPr>
          <w:bCs/>
        </w:rPr>
        <w:t xml:space="preserve"> забезпечення всіх навчальних закладів спеціалістами з фаховою освітою;</w:t>
      </w:r>
    </w:p>
    <w:p w:rsidR="007249F5" w:rsidRPr="005F4AF8" w:rsidRDefault="007249F5" w:rsidP="007249F5">
      <w:pPr>
        <w:pStyle w:val="2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bCs/>
        </w:rPr>
      </w:pPr>
      <w:r w:rsidRPr="005F4AF8">
        <w:rPr>
          <w:bCs/>
        </w:rPr>
        <w:t xml:space="preserve"> стабілізація кадрового складу практичних психологів дошкільних  та загальноосві</w:t>
      </w:r>
      <w:r w:rsidRPr="005F4AF8">
        <w:rPr>
          <w:bCs/>
        </w:rPr>
        <w:t>т</w:t>
      </w:r>
      <w:r w:rsidRPr="005F4AF8">
        <w:rPr>
          <w:bCs/>
        </w:rPr>
        <w:t>ніх  навчальних закладів;</w:t>
      </w:r>
    </w:p>
    <w:p w:rsidR="007249F5" w:rsidRPr="005F4AF8" w:rsidRDefault="007249F5" w:rsidP="007249F5">
      <w:pPr>
        <w:pStyle w:val="2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rPr>
          <w:bCs/>
        </w:rPr>
      </w:pPr>
      <w:r w:rsidRPr="005F4AF8">
        <w:rPr>
          <w:bCs/>
        </w:rPr>
        <w:t xml:space="preserve"> вдосконалення діяльності практичних психологів та соціальних педагогів через н</w:t>
      </w:r>
      <w:r w:rsidRPr="005F4AF8">
        <w:rPr>
          <w:bCs/>
        </w:rPr>
        <w:t>а</w:t>
      </w:r>
      <w:r w:rsidRPr="005F4AF8">
        <w:rPr>
          <w:bCs/>
        </w:rPr>
        <w:t>дання дієвої науково-методичної допомоги;</w:t>
      </w:r>
    </w:p>
    <w:p w:rsidR="007249F5" w:rsidRPr="005F4AF8" w:rsidRDefault="007249F5" w:rsidP="007249F5">
      <w:pPr>
        <w:pStyle w:val="2"/>
        <w:numPr>
          <w:ilvl w:val="0"/>
          <w:numId w:val="5"/>
        </w:numPr>
        <w:tabs>
          <w:tab w:val="left" w:pos="0"/>
        </w:tabs>
        <w:spacing w:line="240" w:lineRule="auto"/>
        <w:ind w:left="0" w:firstLine="567"/>
        <w:jc w:val="both"/>
      </w:pPr>
      <w:r w:rsidRPr="005F4AF8">
        <w:rPr>
          <w:bCs/>
        </w:rPr>
        <w:t xml:space="preserve"> підвищення якості освіти в навчальних закладах району через підвищення ефекти</w:t>
      </w:r>
      <w:r w:rsidRPr="005F4AF8">
        <w:rPr>
          <w:bCs/>
        </w:rPr>
        <w:t>в</w:t>
      </w:r>
      <w:r w:rsidRPr="005F4AF8">
        <w:rPr>
          <w:bCs/>
        </w:rPr>
        <w:t>ності діяльності практичних  психологів та соціальних педагогів.</w:t>
      </w:r>
      <w:r w:rsidRPr="005F4AF8">
        <w:t xml:space="preserve">  </w:t>
      </w:r>
    </w:p>
    <w:p w:rsidR="00C45982" w:rsidRDefault="00C45982">
      <w:bookmarkStart w:id="0" w:name="_GoBack"/>
      <w:bookmarkEnd w:id="0"/>
    </w:p>
    <w:sectPr w:rsidR="00C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21B"/>
    <w:multiLevelType w:val="hybridMultilevel"/>
    <w:tmpl w:val="49D4D4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774ED"/>
    <w:multiLevelType w:val="hybridMultilevel"/>
    <w:tmpl w:val="2D52F4D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C47EB"/>
    <w:multiLevelType w:val="hybridMultilevel"/>
    <w:tmpl w:val="8C1CA43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52AE2886"/>
    <w:multiLevelType w:val="hybridMultilevel"/>
    <w:tmpl w:val="1DF47D6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0A0CBD"/>
    <w:multiLevelType w:val="hybridMultilevel"/>
    <w:tmpl w:val="E76A8A3C"/>
    <w:lvl w:ilvl="0" w:tplc="F6C219AE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B29DA"/>
    <w:multiLevelType w:val="hybridMultilevel"/>
    <w:tmpl w:val="F8380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5"/>
    <w:rsid w:val="007249F5"/>
    <w:rsid w:val="00C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9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7249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249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7249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724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24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49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7249F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249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7249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724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24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package" Target="embeddings/______Microsoft_PowerPoint7.sldx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696284329563816E-2"/>
          <c:y val="4.778156996587031E-2"/>
          <c:w val="0.93214862681744748"/>
          <c:h val="0.703071672354948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Практичні психологи ДНЗ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2013|2014</c:v>
                </c:pt>
                <c:pt idx="1">
                  <c:v>2014|2015</c:v>
                </c:pt>
                <c:pt idx="2">
                  <c:v>2015|2016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Практичні психологи ЗНЗ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2013|2014</c:v>
                </c:pt>
                <c:pt idx="1">
                  <c:v>2014|2015</c:v>
                </c:pt>
                <c:pt idx="2">
                  <c:v>2015|2016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19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Соціальні педагоги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2013|2014</c:v>
                </c:pt>
                <c:pt idx="1">
                  <c:v>2014|2015</c:v>
                </c:pt>
                <c:pt idx="2">
                  <c:v>2015|2016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18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6613376"/>
        <c:axId val="296614912"/>
        <c:axId val="0"/>
      </c:bar3DChart>
      <c:catAx>
        <c:axId val="29661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6614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6149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661337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4.5234248788368334E-2"/>
          <c:y val="0.89761092150170652"/>
          <c:w val="0.90791599353796448"/>
          <c:h val="9.215017064846416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21841541755889E-2"/>
          <c:y val="5.5555555555555552E-2"/>
          <c:w val="0.88436830835117775"/>
          <c:h val="0.781746031746031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8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844</c:v>
                </c:pt>
                <c:pt idx="1">
                  <c:v>956</c:v>
                </c:pt>
                <c:pt idx="2">
                  <c:v>744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4379776"/>
        <c:axId val="344381312"/>
        <c:axId val="0"/>
      </c:bar3DChart>
      <c:catAx>
        <c:axId val="34437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4381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3813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4379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5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7759815242494224E-2"/>
          <c:y val="0.05"/>
          <c:w val="0.72979214780600465"/>
          <c:h val="0.761111111111111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5935334872979215"/>
                  <c:y val="0.52777777777777779"/>
                </c:manualLayout>
              </c:layout>
              <c:tx>
                <c:rich>
                  <a:bodyPr/>
                  <a:lstStyle/>
                  <a:p>
                    <a:r>
                      <a:t>14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9792147806004621"/>
                  <c:y val="0.52222222222222225"/>
                </c:manualLayout>
              </c:layout>
              <c:tx>
                <c:rich>
                  <a:bodyPr/>
                  <a:lstStyle/>
                  <a:p>
                    <a:r>
                      <a:t>16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45034642032332561"/>
                  <c:y val="0.52222222222222225"/>
                </c:manualLayout>
              </c:layout>
              <c:tx>
                <c:rich>
                  <a:bodyPr/>
                  <a:lstStyle/>
                  <a:p>
                    <a:r>
                      <a:t>16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l" rtl="0"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2013|2014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0.14000000000000001</c:v>
                </c:pt>
                <c:pt idx="1">
                  <c:v>0.16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2013|2014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0.77</c:v>
                </c:pt>
                <c:pt idx="1">
                  <c:v>0.72</c:v>
                </c:pt>
                <c:pt idx="2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 algn="r"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2013|2014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0.09</c:v>
                </c:pt>
                <c:pt idx="1">
                  <c:v>0.12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6800640"/>
        <c:axId val="296802176"/>
        <c:axId val="0"/>
      </c:bar3DChart>
      <c:catAx>
        <c:axId val="29680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9680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8021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96800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295612009237875"/>
          <c:y val="0.33888888888888891"/>
          <c:w val="0.14318706697459585"/>
          <c:h val="0.3222222222222222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88489208633093"/>
          <c:y val="7.1428571428571425E-2"/>
          <c:w val="0.82014388489208634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1317</c:v>
                </c:pt>
                <c:pt idx="1">
                  <c:v>1350</c:v>
                </c:pt>
                <c:pt idx="2">
                  <c:v>1004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6953728"/>
        <c:axId val="296955264"/>
        <c:axId val="0"/>
      </c:bar3DChart>
      <c:catAx>
        <c:axId val="296953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6955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955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695372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519650655021835E-2"/>
          <c:y val="7.3359073359073365E-2"/>
          <c:w val="0.69868995633187769"/>
          <c:h val="0.768339768339768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0.24</c:v>
                </c:pt>
                <c:pt idx="1">
                  <c:v>0.3</c:v>
                </c:pt>
                <c:pt idx="2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0.68</c:v>
                </c:pt>
                <c:pt idx="1">
                  <c:v>0.63</c:v>
                </c:pt>
                <c:pt idx="2">
                  <c:v>0.63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низький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2013/2014</c:v>
                </c:pt>
                <c:pt idx="1">
                  <c:v>2014/2015</c:v>
                </c:pt>
                <c:pt idx="2">
                  <c:v>2015/2016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0.08</c:v>
                </c:pt>
                <c:pt idx="1">
                  <c:v>7.0000000000000007E-2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777024"/>
        <c:axId val="361778560"/>
        <c:axId val="0"/>
      </c:bar3DChart>
      <c:catAx>
        <c:axId val="36177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77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778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777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222707423580787"/>
          <c:y val="0.36679536679536678"/>
          <c:w val="0.17903930131004367"/>
          <c:h val="0.2702702702702702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8105726872246701E-2"/>
          <c:y val="7.792207792207792E-2"/>
          <c:w val="0.64977973568281944"/>
          <c:h val="0.748917748917748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Грудень 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5198237885462554"/>
                  <c:y val="0.25541125541125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8193832599118945"/>
                  <c:y val="2.1645021645021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44493392070484583"/>
                  <c:y val="0.623376623376623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високий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0.37</c:v>
                </c:pt>
                <c:pt idx="1">
                  <c:v>0.56000000000000005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Травень 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0044052863436124"/>
                  <c:y val="9.956709956709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3700440528634362"/>
                  <c:y val="0.151515151515151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49118942731277532"/>
                  <c:y val="0.658008658008658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високий</c:v>
                </c:pt>
                <c:pt idx="1">
                  <c:v>середній</c:v>
                </c:pt>
                <c:pt idx="2">
                  <c:v>низький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</c:v>
                </c:pt>
                <c:pt idx="1">
                  <c:v>0.47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804928"/>
        <c:axId val="361806464"/>
        <c:axId val="0"/>
      </c:bar3DChart>
      <c:catAx>
        <c:axId val="36180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806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8064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1804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211453744493396"/>
          <c:y val="0.40259740259740262"/>
          <c:w val="0.22907488986784141"/>
          <c:h val="0.194805194805194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2016-09-21T12:33:00Z</dcterms:created>
  <dcterms:modified xsi:type="dcterms:W3CDTF">2016-09-21T12:34:00Z</dcterms:modified>
</cp:coreProperties>
</file>